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val="0"/>
        <w:keepLines w:val="0"/>
        <w:pageBreakBefore w:val="0"/>
        <w:widowControl/>
        <w:kinsoku/>
        <w:wordWrap/>
        <w:overflowPunct/>
        <w:topLinePunct w:val="0"/>
        <w:autoSpaceDN/>
        <w:bidi w:val="0"/>
        <w:adjustRightInd/>
        <w:spacing w:before="0" w:beforeAutospacing="0" w:after="0" w:afterAutospacing="0" w:line="596" w:lineRule="exact"/>
        <w:jc w:val="center"/>
        <w:textAlignment w:val="auto"/>
        <w:rPr>
          <w:rFonts w:ascii="Times New Roman" w:hAnsi="Times New Roman" w:eastAsia="方正仿宋_GBK" w:cs="方正小标宋_GBK"/>
          <w:b/>
          <w:bCs/>
          <w:sz w:val="44"/>
          <w:szCs w:val="44"/>
        </w:rPr>
      </w:pPr>
      <w:bookmarkStart w:id="0" w:name="_GoBack"/>
      <w:bookmarkEnd w:id="0"/>
      <w:r>
        <w:rPr>
          <w:rFonts w:ascii="Times New Roman" w:hAnsi="Times New Roman" w:eastAsia="方正仿宋_GBK" w:cs="方正小标宋_GBK"/>
          <w:b/>
          <w:bCs/>
          <w:sz w:val="44"/>
          <w:szCs w:val="44"/>
        </w:rPr>
        <w:t>重庆市大足区智凤街道社区事务服务中心</w:t>
      </w:r>
    </w:p>
    <w:p>
      <w:pPr>
        <w:pStyle w:val="10"/>
        <w:keepNext w:val="0"/>
        <w:keepLines w:val="0"/>
        <w:pageBreakBefore w:val="0"/>
        <w:widowControl/>
        <w:kinsoku/>
        <w:wordWrap/>
        <w:overflowPunct/>
        <w:topLinePunct w:val="0"/>
        <w:autoSpaceDN/>
        <w:bidi w:val="0"/>
        <w:adjustRightInd/>
        <w:spacing w:before="0" w:beforeAutospacing="0" w:after="0" w:afterAutospacing="0" w:line="596" w:lineRule="exact"/>
        <w:jc w:val="center"/>
        <w:textAlignment w:val="auto"/>
        <w:rPr>
          <w:rFonts w:hint="default" w:ascii="Times New Roman" w:hAnsi="Times New Roman" w:eastAsia="方正仿宋_GBK" w:cs="方正小标宋_GBK"/>
          <w:b/>
          <w:bCs/>
          <w:sz w:val="44"/>
          <w:szCs w:val="44"/>
          <w:shd w:val="clear" w:color="auto" w:fill="FFFFFF"/>
        </w:rPr>
      </w:pPr>
      <w:r>
        <w:rPr>
          <w:rFonts w:hint="default" w:ascii="Times New Roman" w:hAnsi="Times New Roman" w:eastAsia="方正仿宋_GBK" w:cs="Times New Roman"/>
          <w:b/>
          <w:bCs/>
          <w:sz w:val="44"/>
          <w:szCs w:val="44"/>
          <w:shd w:val="clear" w:color="auto" w:fill="FFFFFF"/>
        </w:rPr>
        <w:t>2024</w:t>
      </w:r>
      <w:r>
        <w:rPr>
          <w:rFonts w:ascii="Times New Roman" w:hAnsi="Times New Roman" w:eastAsia="方正仿宋_GBK" w:cs="方正小标宋_GBK"/>
          <w:b/>
          <w:bCs/>
          <w:sz w:val="44"/>
          <w:szCs w:val="44"/>
          <w:shd w:val="clear" w:color="auto" w:fill="FFFFFF"/>
        </w:rPr>
        <w:t>年度决算公开说明</w:t>
      </w:r>
    </w:p>
    <w:p>
      <w:pPr>
        <w:pStyle w:val="10"/>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96" w:lineRule="exact"/>
        <w:ind w:firstLine="642" w:firstLineChars="200"/>
        <w:textAlignment w:val="auto"/>
        <w:rPr>
          <w:rStyle w:val="14"/>
          <w:rFonts w:ascii="Times New Roman" w:hAnsi="Times New Roman" w:eastAsia="方正仿宋_GBK" w:cs="黑体"/>
          <w:sz w:val="32"/>
          <w:szCs w:val="32"/>
          <w:shd w:val="clear" w:color="auto" w:fill="FFFFFF"/>
        </w:rPr>
      </w:pPr>
    </w:p>
    <w:p>
      <w:pPr>
        <w:pStyle w:val="10"/>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600" w:lineRule="exact"/>
        <w:ind w:firstLine="642" w:firstLineChars="200"/>
        <w:textAlignment w:val="auto"/>
        <w:rPr>
          <w:rStyle w:val="14"/>
          <w:rFonts w:hint="default" w:ascii="Times New Roman" w:hAnsi="Times New Roman" w:eastAsia="方正仿宋_GBK" w:cs="黑体"/>
          <w:sz w:val="32"/>
          <w:szCs w:val="32"/>
          <w:shd w:val="clear" w:color="auto" w:fill="FFFFFF"/>
        </w:rPr>
      </w:pPr>
      <w:r>
        <w:rPr>
          <w:rStyle w:val="14"/>
          <w:rFonts w:ascii="Times New Roman" w:hAnsi="Times New Roman" w:eastAsia="方正仿宋_GBK" w:cs="黑体"/>
          <w:sz w:val="32"/>
          <w:szCs w:val="32"/>
          <w:shd w:val="clear" w:color="auto" w:fill="FFFFFF"/>
        </w:rPr>
        <w:t>一、</w:t>
      </w:r>
      <w:r>
        <w:rPr>
          <w:rStyle w:val="14"/>
          <w:rFonts w:hint="eastAsia" w:ascii="Times New Roman" w:hAnsi="Times New Roman" w:eastAsia="方正仿宋_GBK" w:cs="黑体"/>
          <w:sz w:val="32"/>
          <w:szCs w:val="32"/>
          <w:shd w:val="clear" w:color="auto" w:fill="FFFFFF"/>
          <w:lang w:eastAsia="zh-CN"/>
        </w:rPr>
        <w:t>单位</w:t>
      </w:r>
      <w:r>
        <w:rPr>
          <w:rStyle w:val="14"/>
          <w:rFonts w:ascii="Times New Roman" w:hAnsi="Times New Roman" w:eastAsia="方正仿宋_GBK" w:cs="黑体"/>
          <w:sz w:val="32"/>
          <w:szCs w:val="32"/>
          <w:shd w:val="clear" w:color="auto" w:fill="FFFFFF"/>
        </w:rPr>
        <w:t>基本情况</w:t>
      </w:r>
    </w:p>
    <w:p>
      <w:pPr>
        <w:pStyle w:val="10"/>
        <w:keepNext w:val="0"/>
        <w:keepLines w:val="0"/>
        <w:pageBreakBefore w:val="0"/>
        <w:widowControl w:val="0"/>
        <w:shd w:val="clear" w:color="auto" w:fill="FFFFFF"/>
        <w:kinsoku/>
        <w:wordWrap/>
        <w:overflowPunct/>
        <w:topLinePunct w:val="0"/>
        <w:autoSpaceDN/>
        <w:bidi w:val="0"/>
        <w:adjustRightInd/>
        <w:spacing w:beforeAutospacing="0" w:afterAutospacing="0" w:line="600" w:lineRule="exact"/>
        <w:ind w:firstLine="420"/>
        <w:textAlignment w:val="auto"/>
        <w:rPr>
          <w:rFonts w:hint="default" w:ascii="Times New Roman" w:hAnsi="Times New Roman" w:eastAsia="方正仿宋_GBK" w:cs="方正仿宋_GBK"/>
          <w:sz w:val="32"/>
          <w:szCs w:val="32"/>
        </w:rPr>
      </w:pPr>
      <w:r>
        <w:rPr>
          <w:rStyle w:val="14"/>
          <w:rFonts w:ascii="Times New Roman" w:hAnsi="Times New Roman" w:eastAsia="方正仿宋_GBK" w:cs="楷体"/>
          <w:sz w:val="32"/>
          <w:szCs w:val="32"/>
          <w:shd w:val="clear" w:color="auto" w:fill="FFFFFF"/>
        </w:rPr>
        <w:t>（一）职能职责</w:t>
      </w:r>
    </w:p>
    <w:p>
      <w:pPr>
        <w:keepNext w:val="0"/>
        <w:keepLines w:val="0"/>
        <w:pageBreakBefore w:val="0"/>
        <w:widowControl w:val="0"/>
        <w:kinsoku/>
        <w:wordWrap/>
        <w:overflowPunct/>
        <w:topLinePunct w:val="0"/>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lang w:eastAsia="zh-CN"/>
        </w:rPr>
        <w:t>1</w:t>
      </w:r>
      <w:r>
        <w:rPr>
          <w:rFonts w:hint="eastAsia" w:ascii="Times New Roman" w:hAnsi="Times New Roman" w:eastAsia="方正仿宋_GBK" w:cs="方正仿宋_GBK"/>
          <w:sz w:val="32"/>
          <w:szCs w:val="32"/>
          <w:lang w:val="en-US" w:eastAsia="zh-CN"/>
        </w:rPr>
        <w:t>.</w:t>
      </w:r>
      <w:r>
        <w:rPr>
          <w:rFonts w:hint="eastAsia" w:ascii="Times New Roman" w:hAnsi="Times New Roman" w:eastAsia="方正仿宋_GBK" w:cs="方正仿宋_GBK"/>
          <w:sz w:val="32"/>
          <w:szCs w:val="32"/>
        </w:rPr>
        <w:t>主要职能。</w:t>
      </w:r>
    </w:p>
    <w:p>
      <w:pPr>
        <w:keepNext w:val="0"/>
        <w:keepLines w:val="0"/>
        <w:pageBreakBefore w:val="0"/>
        <w:widowControl w:val="0"/>
        <w:tabs>
          <w:tab w:val="center" w:pos="4153"/>
          <w:tab w:val="right" w:pos="8306"/>
        </w:tabs>
        <w:kinsoku/>
        <w:wordWrap/>
        <w:overflowPunct/>
        <w:topLinePunct w:val="0"/>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宗旨：从事社区服务，方便群众生活。</w:t>
      </w:r>
    </w:p>
    <w:p>
      <w:pPr>
        <w:keepNext w:val="0"/>
        <w:keepLines w:val="0"/>
        <w:pageBreakBefore w:val="0"/>
        <w:widowControl w:val="0"/>
        <w:tabs>
          <w:tab w:val="center" w:pos="4153"/>
          <w:tab w:val="right" w:pos="8306"/>
        </w:tabs>
        <w:kinsoku/>
        <w:wordWrap/>
        <w:overflowPunct/>
        <w:topLinePunct w:val="0"/>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主要职责任务：承担社区日常事务性工作。</w:t>
      </w:r>
    </w:p>
    <w:p>
      <w:pPr>
        <w:keepNext w:val="0"/>
        <w:keepLines w:val="0"/>
        <w:pageBreakBefore w:val="0"/>
        <w:widowControl w:val="0"/>
        <w:tabs>
          <w:tab w:val="center" w:pos="4153"/>
          <w:tab w:val="right" w:pos="8306"/>
        </w:tabs>
        <w:kinsoku/>
        <w:wordWrap/>
        <w:overflowPunct/>
        <w:topLinePunct w:val="0"/>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具体职责任务：</w:t>
      </w:r>
    </w:p>
    <w:p>
      <w:pPr>
        <w:keepNext w:val="0"/>
        <w:keepLines w:val="0"/>
        <w:pageBreakBefore w:val="0"/>
        <w:widowControl w:val="0"/>
        <w:tabs>
          <w:tab w:val="center" w:pos="4153"/>
          <w:tab w:val="right" w:pos="8306"/>
        </w:tabs>
        <w:kinsoku/>
        <w:wordWrap/>
        <w:overflowPunct/>
        <w:topLinePunct w:val="0"/>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承担社区党建、居民自治、平安建设、社会治理、应急管理、信访稳定、法律服务、舆情险情处置、便民服务、矛盾纠纷排查调处、社情民意收集与引导、综合信息收集与管理和社区服务队伍建设、社区服务信息化建设、社区品牌创建等事务性工作。</w:t>
      </w:r>
    </w:p>
    <w:p>
      <w:pPr>
        <w:keepNext w:val="0"/>
        <w:keepLines w:val="0"/>
        <w:pageBreakBefore w:val="0"/>
        <w:widowControl w:val="0"/>
        <w:tabs>
          <w:tab w:val="center" w:pos="4153"/>
          <w:tab w:val="right" w:pos="8306"/>
        </w:tabs>
        <w:kinsoku/>
        <w:wordWrap/>
        <w:overflowPunct/>
        <w:topLinePunct w:val="0"/>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（2）承担社区水、电、气、通信等方面的事务性工作。</w:t>
      </w:r>
    </w:p>
    <w:p>
      <w:pPr>
        <w:pStyle w:val="10"/>
        <w:keepNext w:val="0"/>
        <w:keepLines w:val="0"/>
        <w:pageBreakBefore w:val="0"/>
        <w:widowControl w:val="0"/>
        <w:shd w:val="clear" w:color="auto" w:fill="FFFFFF"/>
        <w:kinsoku/>
        <w:wordWrap/>
        <w:overflowPunct/>
        <w:topLinePunct w:val="0"/>
        <w:autoSpaceDN/>
        <w:bidi w:val="0"/>
        <w:adjustRightInd/>
        <w:spacing w:beforeAutospacing="0" w:afterAutospacing="0" w:line="600" w:lineRule="exact"/>
        <w:ind w:firstLine="420"/>
        <w:textAlignment w:val="auto"/>
        <w:rPr>
          <w:rFonts w:hint="default" w:ascii="Times New Roman" w:hAnsi="Times New Roman" w:eastAsia="方正仿宋_GBK" w:cs="楷体"/>
          <w:sz w:val="32"/>
          <w:szCs w:val="32"/>
        </w:rPr>
      </w:pPr>
      <w:r>
        <w:rPr>
          <w:rStyle w:val="14"/>
          <w:rFonts w:ascii="Times New Roman" w:hAnsi="Times New Roman" w:eastAsia="方正仿宋_GBK" w:cs="楷体"/>
          <w:sz w:val="32"/>
          <w:szCs w:val="32"/>
          <w:shd w:val="clear" w:color="auto" w:fill="FFFFFF"/>
        </w:rPr>
        <w:t>（二）机构设置</w:t>
      </w:r>
    </w:p>
    <w:p>
      <w:pPr>
        <w:keepNext w:val="0"/>
        <w:keepLines w:val="0"/>
        <w:pageBreakBefore w:val="0"/>
        <w:widowControl w:val="0"/>
        <w:tabs>
          <w:tab w:val="center" w:pos="4153"/>
          <w:tab w:val="right" w:pos="8306"/>
        </w:tabs>
        <w:kinsoku/>
        <w:wordWrap/>
        <w:overflowPunct/>
        <w:topLinePunct w:val="0"/>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lang w:val="en-US" w:eastAsia="zh-CN"/>
        </w:rPr>
        <w:t>机构数上年度1个，本年度1个</w:t>
      </w:r>
      <w:r>
        <w:rPr>
          <w:rFonts w:hint="eastAsia" w:ascii="Times New Roman" w:hAnsi="Times New Roman" w:eastAsia="方正仿宋_GBK" w:cs="方正仿宋_GBK"/>
          <w:sz w:val="32"/>
          <w:szCs w:val="32"/>
          <w:lang w:eastAsia="zh-CN"/>
        </w:rPr>
        <w:t>。</w:t>
      </w:r>
    </w:p>
    <w:p>
      <w:pPr>
        <w:keepNext w:val="0"/>
        <w:keepLines w:val="0"/>
        <w:pageBreakBefore w:val="0"/>
        <w:widowControl w:val="0"/>
        <w:tabs>
          <w:tab w:val="center" w:pos="4153"/>
          <w:tab w:val="right" w:pos="8306"/>
        </w:tabs>
        <w:kinsoku/>
        <w:wordWrap/>
        <w:overflowPunct/>
        <w:topLinePunct w:val="0"/>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智凤街道社区事务</w:t>
      </w:r>
      <w:r>
        <w:rPr>
          <w:rFonts w:hint="default" w:ascii="Times New Roman" w:hAnsi="Times New Roman" w:eastAsia="方正仿宋_GBK" w:cs="方正仿宋_GBK"/>
          <w:sz w:val="32"/>
          <w:szCs w:val="32"/>
        </w:rPr>
        <w:t>服务中心本年人数</w:t>
      </w:r>
      <w:r>
        <w:rPr>
          <w:rFonts w:hint="eastAsia" w:ascii="Times New Roman" w:hAnsi="Times New Roman" w:eastAsia="方正仿宋_GBK" w:cs="方正仿宋_GBK"/>
          <w:sz w:val="32"/>
          <w:szCs w:val="32"/>
          <w:lang w:val="en-US" w:eastAsia="zh-CN"/>
        </w:rPr>
        <w:t>9</w:t>
      </w:r>
      <w:r>
        <w:rPr>
          <w:rFonts w:hint="default" w:ascii="Times New Roman" w:hAnsi="Times New Roman" w:eastAsia="方正仿宋_GBK" w:cs="方正仿宋_GBK"/>
          <w:sz w:val="32"/>
          <w:szCs w:val="32"/>
        </w:rPr>
        <w:t>人，上年人数</w:t>
      </w:r>
      <w:r>
        <w:rPr>
          <w:rFonts w:hint="eastAsia" w:ascii="Times New Roman" w:hAnsi="Times New Roman" w:eastAsia="方正仿宋_GBK" w:cs="方正仿宋_GBK"/>
          <w:sz w:val="32"/>
          <w:szCs w:val="32"/>
          <w:lang w:val="en-US" w:eastAsia="zh-CN"/>
        </w:rPr>
        <w:t>8</w:t>
      </w:r>
      <w:r>
        <w:rPr>
          <w:rFonts w:hint="default" w:ascii="Times New Roman" w:hAnsi="Times New Roman" w:eastAsia="方正仿宋_GBK" w:cs="方正仿宋_GBK"/>
          <w:sz w:val="32"/>
          <w:szCs w:val="32"/>
        </w:rPr>
        <w:t>人</w:t>
      </w:r>
      <w:r>
        <w:rPr>
          <w:rFonts w:hint="eastAsia" w:ascii="Times New Roman" w:hAnsi="Times New Roman" w:eastAsia="方正仿宋_GBK" w:cs="方正仿宋_GBK"/>
          <w:sz w:val="32"/>
          <w:szCs w:val="32"/>
          <w:lang w:eastAsia="zh-CN"/>
        </w:rPr>
        <w:t>，比去年新增</w:t>
      </w:r>
      <w:r>
        <w:rPr>
          <w:rFonts w:hint="eastAsia" w:ascii="Times New Roman" w:hAnsi="Times New Roman" w:eastAsia="方正仿宋_GBK" w:cs="方正仿宋_GBK"/>
          <w:sz w:val="32"/>
          <w:szCs w:val="32"/>
          <w:lang w:val="en-US" w:eastAsia="zh-CN"/>
        </w:rPr>
        <w:t>1人</w:t>
      </w:r>
      <w:r>
        <w:rPr>
          <w:rFonts w:hint="eastAsia" w:ascii="Times New Roman" w:hAnsi="Times New Roman" w:eastAsia="方正仿宋_GBK" w:cs="方正仿宋_GBK"/>
          <w:sz w:val="32"/>
          <w:szCs w:val="32"/>
          <w:lang w:eastAsia="zh-CN"/>
        </w:rPr>
        <w:t>。</w:t>
      </w:r>
    </w:p>
    <w:p>
      <w:pPr>
        <w:pStyle w:val="15"/>
        <w:keepNext w:val="0"/>
        <w:keepLines w:val="0"/>
        <w:pageBreakBefore w:val="0"/>
        <w:widowControl w:val="0"/>
        <w:kinsoku/>
        <w:wordWrap/>
        <w:overflowPunct/>
        <w:topLinePunct w:val="0"/>
        <w:autoSpaceDE w:val="0"/>
        <w:autoSpaceDN/>
        <w:bidi w:val="0"/>
        <w:adjustRightInd/>
        <w:snapToGrid/>
        <w:spacing w:beforeAutospacing="0" w:afterAutospacing="0" w:line="600" w:lineRule="exact"/>
        <w:ind w:firstLine="642" w:firstLineChars="200"/>
        <w:textAlignment w:val="auto"/>
        <w:rPr>
          <w:rFonts w:ascii="Times New Roman" w:hAnsi="Times New Roman" w:eastAsia="方正仿宋_GBK" w:cs="楷体"/>
          <w:b/>
          <w:bCs/>
          <w:sz w:val="32"/>
          <w:szCs w:val="32"/>
          <w:shd w:val="clear" w:color="auto" w:fill="FFFFFF"/>
        </w:rPr>
      </w:pPr>
      <w:r>
        <w:rPr>
          <w:rFonts w:hint="eastAsia" w:ascii="Times New Roman" w:hAnsi="Times New Roman" w:eastAsia="方正仿宋_GBK" w:cs="楷体"/>
          <w:b/>
          <w:bCs/>
          <w:sz w:val="32"/>
          <w:szCs w:val="32"/>
          <w:shd w:val="clear" w:color="auto" w:fill="FFFFFF"/>
        </w:rPr>
        <w:t>（一）收入支出决算总体情况说明</w:t>
      </w:r>
    </w:p>
    <w:p>
      <w:pPr>
        <w:pStyle w:val="10"/>
        <w:keepNext w:val="0"/>
        <w:keepLines w:val="0"/>
        <w:pageBreakBefore w:val="0"/>
        <w:widowControl w:val="0"/>
        <w:shd w:val="clear" w:color="auto" w:fill="FFFFFF"/>
        <w:kinsoku/>
        <w:wordWrap/>
        <w:overflowPunct/>
        <w:topLinePunct w:val="0"/>
        <w:autoSpaceDN/>
        <w:bidi w:val="0"/>
        <w:adjustRightInd/>
        <w:spacing w:before="0" w:beforeAutospacing="0" w:after="0" w:afterAutospacing="0" w:line="600" w:lineRule="exact"/>
        <w:ind w:firstLine="640" w:firstLineChars="200"/>
        <w:jc w:val="both"/>
        <w:textAlignment w:val="auto"/>
        <w:rPr>
          <w:rFonts w:hint="eastAsia" w:ascii="Times New Roman" w:hAnsi="Times New Roman" w:eastAsia="方正仿宋_GBK" w:cs="方正仿宋_GBK"/>
          <w:color w:val="FF0000"/>
          <w:sz w:val="32"/>
          <w:szCs w:val="32"/>
          <w:shd w:val="clear" w:color="auto" w:fill="FFFFFF"/>
          <w:lang w:val="en-US" w:eastAsia="zh-CN"/>
        </w:rPr>
      </w:pPr>
      <w:r>
        <w:rPr>
          <w:rFonts w:hint="default" w:ascii="Times New Roman" w:hAnsi="Times New Roman" w:eastAsia="方正仿宋_GBK"/>
          <w:sz w:val="32"/>
          <w:szCs w:val="32"/>
          <w:shd w:val="clear" w:color="auto" w:fill="FFFFFF"/>
        </w:rPr>
        <w:t>2024</w:t>
      </w:r>
      <w:r>
        <w:rPr>
          <w:rFonts w:ascii="Times New Roman" w:hAnsi="Times New Roman" w:eastAsia="方正仿宋_GBK" w:cs="方正仿宋_GBK"/>
          <w:sz w:val="32"/>
          <w:szCs w:val="32"/>
          <w:shd w:val="clear" w:color="auto" w:fill="FFFFFF"/>
        </w:rPr>
        <w:t>年度收</w:t>
      </w:r>
      <w:r>
        <w:rPr>
          <w:rFonts w:hint="eastAsia" w:ascii="Times New Roman" w:hAnsi="Times New Roman" w:eastAsia="方正仿宋_GBK" w:cs="方正仿宋_GBK"/>
          <w:sz w:val="32"/>
          <w:szCs w:val="32"/>
          <w:shd w:val="clear" w:color="auto" w:fill="FFFFFF"/>
          <w:lang w:eastAsia="zh-CN"/>
        </w:rPr>
        <w:t>、支</w:t>
      </w:r>
      <w:r>
        <w:rPr>
          <w:rFonts w:ascii="Times New Roman" w:hAnsi="Times New Roman" w:eastAsia="方正仿宋_GBK" w:cs="方正仿宋_GBK"/>
          <w:sz w:val="32"/>
          <w:szCs w:val="32"/>
          <w:shd w:val="clear" w:color="auto" w:fill="FFFFFF"/>
        </w:rPr>
        <w:t>总计</w:t>
      </w:r>
      <w:r>
        <w:rPr>
          <w:rFonts w:hint="eastAsia" w:ascii="Times New Roman" w:hAnsi="Times New Roman" w:eastAsia="方正仿宋_GBK" w:cs="方正仿宋_GBK"/>
          <w:sz w:val="32"/>
          <w:szCs w:val="32"/>
          <w:shd w:val="clear" w:color="auto" w:fill="FFFFFF"/>
          <w:lang w:eastAsia="zh-CN"/>
        </w:rPr>
        <w:t>均为</w:t>
      </w:r>
      <w:r>
        <w:rPr>
          <w:rFonts w:hint="default" w:ascii="Times New Roman" w:hAnsi="Times New Roman" w:eastAsia="方正仿宋_GBK"/>
          <w:sz w:val="32"/>
          <w:szCs w:val="32"/>
          <w:shd w:val="clear" w:color="auto" w:fill="FFFFFF"/>
        </w:rPr>
        <w:t>136.61</w:t>
      </w:r>
      <w:r>
        <w:rPr>
          <w:rFonts w:ascii="Times New Roman" w:hAnsi="Times New Roman" w:eastAsia="方正仿宋_GBK" w:cs="方正仿宋_GBK"/>
          <w:sz w:val="32"/>
          <w:szCs w:val="32"/>
          <w:shd w:val="clear" w:color="auto" w:fill="FFFFFF"/>
        </w:rPr>
        <w:t>万元。</w:t>
      </w:r>
      <w:r>
        <w:rPr>
          <w:rFonts w:hint="default" w:ascii="Times New Roman" w:hAnsi="Times New Roman" w:eastAsia="方正仿宋_GBK"/>
          <w:sz w:val="32"/>
          <w:szCs w:val="32"/>
          <w:shd w:val="clear" w:color="auto" w:fill="FFFFFF"/>
        </w:rPr>
        <w:t>收、支与2023年度相比，增加19.56万元，增长16.7%</w:t>
      </w:r>
      <w:r>
        <w:rPr>
          <w:rFonts w:ascii="Times New Roman" w:hAnsi="Times New Roman" w:eastAsia="方正仿宋_GBK" w:cs="方正仿宋_GBK"/>
          <w:sz w:val="32"/>
          <w:szCs w:val="32"/>
          <w:shd w:val="clear" w:color="auto" w:fill="FFFFFF"/>
        </w:rPr>
        <w:t>，主要原因是</w:t>
      </w:r>
      <w:r>
        <w:rPr>
          <w:rFonts w:hint="eastAsia" w:ascii="Times New Roman" w:hAnsi="Times New Roman" w:eastAsia="方正仿宋_GBK" w:cs="方正仿宋_GBK"/>
          <w:sz w:val="32"/>
          <w:szCs w:val="32"/>
          <w:shd w:val="clear" w:color="auto" w:fill="FFFFFF"/>
          <w:lang w:eastAsia="zh-CN"/>
        </w:rPr>
        <w:t>新进人员及职工薪资调整。</w:t>
      </w:r>
    </w:p>
    <w:p>
      <w:pPr>
        <w:pStyle w:val="10"/>
        <w:keepNext w:val="0"/>
        <w:keepLines w:val="0"/>
        <w:pageBreakBefore w:val="0"/>
        <w:widowControl w:val="0"/>
        <w:shd w:val="clear" w:color="auto" w:fill="FFFFFF"/>
        <w:kinsoku/>
        <w:wordWrap/>
        <w:overflowPunct/>
        <w:topLinePunct w:val="0"/>
        <w:autoSpaceDN/>
        <w:bidi w:val="0"/>
        <w:adjustRightInd/>
        <w:spacing w:before="0" w:beforeAutospacing="0" w:after="0" w:afterAutospacing="0" w:line="600" w:lineRule="exact"/>
        <w:ind w:firstLine="642" w:firstLineChars="200"/>
        <w:jc w:val="both"/>
        <w:textAlignment w:val="auto"/>
        <w:rPr>
          <w:rFonts w:hint="default" w:ascii="Times New Roman" w:hAnsi="Times New Roman" w:eastAsia="方正仿宋_GBK" w:cs="方正仿宋_GBK"/>
          <w:sz w:val="32"/>
          <w:szCs w:val="32"/>
          <w:shd w:val="clear" w:color="auto" w:fill="FFFFFF"/>
        </w:rPr>
      </w:pPr>
      <w:r>
        <w:rPr>
          <w:rStyle w:val="14"/>
          <w:rFonts w:hint="eastAsia" w:ascii="Times New Roman" w:hAnsi="Times New Roman" w:eastAsia="方正仿宋_GBK"/>
          <w:sz w:val="32"/>
          <w:szCs w:val="32"/>
          <w:shd w:val="clear" w:color="auto" w:fill="FFFFFF"/>
          <w:lang w:val="en-US" w:eastAsia="zh-CN"/>
        </w:rPr>
        <w:t>1</w:t>
      </w:r>
      <w:r>
        <w:rPr>
          <w:rStyle w:val="14"/>
          <w:rFonts w:ascii="Times New Roman" w:hAnsi="Times New Roman" w:eastAsia="方正仿宋_GBK" w:cs="方正仿宋_GBK"/>
          <w:sz w:val="32"/>
          <w:szCs w:val="32"/>
          <w:shd w:val="clear" w:color="auto" w:fill="FFFFFF"/>
        </w:rPr>
        <w:t>.收入情况。</w:t>
      </w:r>
      <w:r>
        <w:rPr>
          <w:rFonts w:hint="default" w:ascii="Times New Roman" w:hAnsi="Times New Roman" w:eastAsia="方正仿宋_GBK"/>
          <w:sz w:val="32"/>
          <w:szCs w:val="32"/>
          <w:shd w:val="clear" w:color="auto" w:fill="FFFFFF"/>
        </w:rPr>
        <w:t>2024</w:t>
      </w:r>
      <w:r>
        <w:rPr>
          <w:rFonts w:ascii="Times New Roman" w:hAnsi="Times New Roman" w:eastAsia="方正仿宋_GBK" w:cs="方正仿宋_GBK"/>
          <w:sz w:val="32"/>
          <w:szCs w:val="32"/>
          <w:shd w:val="clear" w:color="auto" w:fill="FFFFFF"/>
        </w:rPr>
        <w:t>年度收入合计</w:t>
      </w:r>
      <w:r>
        <w:rPr>
          <w:rFonts w:hint="default" w:ascii="Times New Roman" w:hAnsi="Times New Roman" w:eastAsia="方正仿宋_GBK"/>
          <w:sz w:val="32"/>
          <w:szCs w:val="32"/>
          <w:shd w:val="clear" w:color="auto" w:fill="FFFFFF"/>
        </w:rPr>
        <w:t>136.61</w:t>
      </w:r>
      <w:r>
        <w:rPr>
          <w:rFonts w:ascii="Times New Roman" w:hAnsi="Times New Roman" w:eastAsia="方正仿宋_GBK" w:cs="方正仿宋_GBK"/>
          <w:sz w:val="32"/>
          <w:szCs w:val="32"/>
          <w:shd w:val="clear" w:color="auto" w:fill="FFFFFF"/>
        </w:rPr>
        <w:t>万元，</w:t>
      </w:r>
      <w:r>
        <w:rPr>
          <w:rFonts w:hint="default" w:ascii="Times New Roman" w:hAnsi="Times New Roman" w:eastAsia="方正仿宋_GBK"/>
          <w:sz w:val="32"/>
          <w:szCs w:val="32"/>
          <w:shd w:val="clear" w:color="auto" w:fill="FFFFFF"/>
        </w:rPr>
        <w:t>与2023年度相比，增加19.56万元，增长16.7%</w:t>
      </w:r>
      <w:r>
        <w:rPr>
          <w:rFonts w:ascii="Times New Roman" w:hAnsi="Times New Roman" w:eastAsia="方正仿宋_GBK" w:cs="方正仿宋_GBK"/>
          <w:sz w:val="32"/>
          <w:szCs w:val="32"/>
          <w:shd w:val="clear" w:color="auto" w:fill="FFFFFF"/>
        </w:rPr>
        <w:t>，主要原因是</w:t>
      </w:r>
      <w:r>
        <w:rPr>
          <w:rFonts w:hint="eastAsia" w:ascii="Times New Roman" w:hAnsi="Times New Roman" w:eastAsia="方正仿宋_GBK" w:cs="方正仿宋_GBK"/>
          <w:sz w:val="32"/>
          <w:szCs w:val="32"/>
          <w:shd w:val="clear" w:color="auto" w:fill="FFFFFF"/>
          <w:lang w:eastAsia="zh-CN"/>
        </w:rPr>
        <w:t>新进人员及职工薪资调整。</w:t>
      </w:r>
      <w:r>
        <w:rPr>
          <w:rFonts w:ascii="Times New Roman" w:hAnsi="Times New Roman" w:eastAsia="方正仿宋_GBK" w:cs="方正仿宋_GBK"/>
          <w:sz w:val="32"/>
          <w:szCs w:val="32"/>
          <w:shd w:val="clear" w:color="auto" w:fill="FFFFFF"/>
        </w:rPr>
        <w:t>其中：财政拨款收入</w:t>
      </w:r>
      <w:r>
        <w:rPr>
          <w:rFonts w:hint="default" w:ascii="Times New Roman" w:hAnsi="Times New Roman" w:eastAsia="方正仿宋_GBK"/>
          <w:sz w:val="32"/>
          <w:szCs w:val="32"/>
          <w:shd w:val="clear" w:color="auto" w:fill="FFFFFF"/>
        </w:rPr>
        <w:t>136.61</w:t>
      </w:r>
      <w:r>
        <w:rPr>
          <w:rFonts w:ascii="Times New Roman" w:hAnsi="Times New Roman" w:eastAsia="方正仿宋_GBK" w:cs="方正仿宋_GBK"/>
          <w:sz w:val="32"/>
          <w:szCs w:val="32"/>
          <w:shd w:val="clear" w:color="auto" w:fill="FFFFFF"/>
        </w:rPr>
        <w:t>万元，占</w:t>
      </w:r>
      <w:r>
        <w:rPr>
          <w:rFonts w:hint="default" w:ascii="Times New Roman" w:hAnsi="Times New Roman" w:eastAsia="方正仿宋_GBK"/>
          <w:sz w:val="32"/>
          <w:szCs w:val="32"/>
          <w:shd w:val="clear" w:color="auto" w:fill="FFFFFF"/>
        </w:rPr>
        <w:t>100.0%</w:t>
      </w:r>
      <w:r>
        <w:rPr>
          <w:rFonts w:ascii="Times New Roman" w:hAnsi="Times New Roman" w:eastAsia="方正仿宋_GBK" w:cs="方正仿宋_GBK"/>
          <w:sz w:val="32"/>
          <w:szCs w:val="32"/>
          <w:shd w:val="clear" w:color="auto" w:fill="FFFFFF"/>
        </w:rPr>
        <w:t>；事业收入</w:t>
      </w:r>
      <w:r>
        <w:rPr>
          <w:rFonts w:hint="eastAsia" w:ascii="Times New Roman" w:hAnsi="Times New Roman" w:eastAsia="方正仿宋_GBK"/>
          <w:sz w:val="32"/>
          <w:szCs w:val="32"/>
          <w:shd w:val="clear" w:color="auto" w:fill="FFFFFF"/>
          <w:lang w:val="en-US" w:eastAsia="zh-CN"/>
        </w:rPr>
        <w:t>0</w:t>
      </w:r>
      <w:r>
        <w:rPr>
          <w:rFonts w:ascii="Times New Roman" w:hAnsi="Times New Roman" w:eastAsia="方正仿宋_GBK" w:cs="方正仿宋_GBK"/>
          <w:sz w:val="32"/>
          <w:szCs w:val="32"/>
          <w:shd w:val="clear" w:color="auto" w:fill="FFFFFF"/>
        </w:rPr>
        <w:t>万元，占</w:t>
      </w:r>
      <w:r>
        <w:rPr>
          <w:rFonts w:hint="default" w:ascii="Times New Roman" w:hAnsi="Times New Roman" w:eastAsia="方正仿宋_GBK"/>
          <w:sz w:val="32"/>
          <w:szCs w:val="32"/>
          <w:shd w:val="clear" w:color="auto" w:fill="FFFFFF"/>
        </w:rPr>
        <w:t>0.0%</w:t>
      </w:r>
      <w:r>
        <w:rPr>
          <w:rFonts w:ascii="Times New Roman" w:hAnsi="Times New Roman" w:eastAsia="方正仿宋_GBK" w:cs="方正仿宋_GBK"/>
          <w:sz w:val="32"/>
          <w:szCs w:val="32"/>
          <w:shd w:val="clear" w:color="auto" w:fill="FFFFFF"/>
        </w:rPr>
        <w:t>；经营收入</w:t>
      </w:r>
      <w:r>
        <w:rPr>
          <w:rFonts w:hint="eastAsia" w:ascii="Times New Roman" w:hAnsi="Times New Roman" w:eastAsia="方正仿宋_GBK"/>
          <w:sz w:val="32"/>
          <w:szCs w:val="32"/>
          <w:shd w:val="clear" w:color="auto" w:fill="FFFFFF"/>
          <w:lang w:val="en-US" w:eastAsia="zh-CN"/>
        </w:rPr>
        <w:t>0</w:t>
      </w:r>
      <w:r>
        <w:rPr>
          <w:rFonts w:ascii="Times New Roman" w:hAnsi="Times New Roman" w:eastAsia="方正仿宋_GBK" w:cs="方正仿宋_GBK"/>
          <w:sz w:val="32"/>
          <w:szCs w:val="32"/>
          <w:shd w:val="clear" w:color="auto" w:fill="FFFFFF"/>
        </w:rPr>
        <w:t>万元，占</w:t>
      </w:r>
      <w:r>
        <w:rPr>
          <w:rFonts w:hint="default" w:ascii="Times New Roman" w:hAnsi="Times New Roman" w:eastAsia="方正仿宋_GBK"/>
          <w:sz w:val="32"/>
          <w:szCs w:val="32"/>
          <w:shd w:val="clear" w:color="auto" w:fill="FFFFFF"/>
        </w:rPr>
        <w:t>0.0%</w:t>
      </w:r>
      <w:r>
        <w:rPr>
          <w:rFonts w:ascii="Times New Roman" w:hAnsi="Times New Roman" w:eastAsia="方正仿宋_GBK" w:cs="方正仿宋_GBK"/>
          <w:sz w:val="32"/>
          <w:szCs w:val="32"/>
          <w:shd w:val="clear" w:color="auto" w:fill="FFFFFF"/>
        </w:rPr>
        <w:t>；其他收入</w:t>
      </w:r>
      <w:r>
        <w:rPr>
          <w:rFonts w:hint="eastAsia" w:ascii="Times New Roman" w:hAnsi="Times New Roman" w:eastAsia="方正仿宋_GBK"/>
          <w:sz w:val="32"/>
          <w:szCs w:val="32"/>
          <w:shd w:val="clear" w:color="auto" w:fill="FFFFFF"/>
          <w:lang w:val="en-US" w:eastAsia="zh-CN"/>
        </w:rPr>
        <w:t>0</w:t>
      </w:r>
      <w:r>
        <w:rPr>
          <w:rFonts w:ascii="Times New Roman" w:hAnsi="Times New Roman" w:eastAsia="方正仿宋_GBK" w:cs="方正仿宋_GBK"/>
          <w:sz w:val="32"/>
          <w:szCs w:val="32"/>
          <w:shd w:val="clear" w:color="auto" w:fill="FFFFFF"/>
        </w:rPr>
        <w:t>万元，占</w:t>
      </w:r>
      <w:r>
        <w:rPr>
          <w:rFonts w:hint="default" w:ascii="Times New Roman" w:hAnsi="Times New Roman" w:eastAsia="方正仿宋_GBK"/>
          <w:sz w:val="32"/>
          <w:szCs w:val="32"/>
          <w:shd w:val="clear" w:color="auto" w:fill="FFFFFF"/>
        </w:rPr>
        <w:t>0.0%</w:t>
      </w:r>
      <w:r>
        <w:rPr>
          <w:rFonts w:ascii="Times New Roman" w:hAnsi="Times New Roman" w:eastAsia="方正仿宋_GBK" w:cs="方正仿宋_GBK"/>
          <w:sz w:val="32"/>
          <w:szCs w:val="32"/>
          <w:shd w:val="clear" w:color="auto" w:fill="FFFFFF"/>
        </w:rPr>
        <w:t>。此外，</w:t>
      </w:r>
      <w:r>
        <w:rPr>
          <w:rFonts w:hint="eastAsia" w:ascii="Times New Roman" w:hAnsi="Times New Roman" w:eastAsia="方正仿宋_GBK" w:cs="方正仿宋_GBK"/>
          <w:sz w:val="32"/>
          <w:szCs w:val="32"/>
          <w:shd w:val="clear" w:color="auto" w:fill="FFFFFF"/>
        </w:rPr>
        <w:t>使用非财政拨款结余（含专用结余）</w:t>
      </w:r>
      <w:r>
        <w:rPr>
          <w:rFonts w:hint="eastAsia" w:ascii="Times New Roman" w:hAnsi="Times New Roman" w:eastAsia="方正仿宋_GBK"/>
          <w:sz w:val="32"/>
          <w:szCs w:val="32"/>
          <w:shd w:val="clear" w:color="auto" w:fill="FFFFFF"/>
          <w:lang w:val="en-US" w:eastAsia="zh-CN"/>
        </w:rPr>
        <w:t>0</w:t>
      </w:r>
      <w:r>
        <w:rPr>
          <w:rFonts w:ascii="Times New Roman" w:hAnsi="Times New Roman" w:eastAsia="方正仿宋_GBK" w:cs="方正仿宋_GBK"/>
          <w:sz w:val="32"/>
          <w:szCs w:val="32"/>
          <w:shd w:val="clear" w:color="auto" w:fill="FFFFFF"/>
        </w:rPr>
        <w:t>万元，年初结转和结余</w:t>
      </w:r>
      <w:r>
        <w:rPr>
          <w:rFonts w:hint="eastAsia" w:ascii="Times New Roman" w:hAnsi="Times New Roman" w:eastAsia="方正仿宋_GBK"/>
          <w:sz w:val="32"/>
          <w:szCs w:val="32"/>
          <w:shd w:val="clear" w:color="auto" w:fill="FFFFFF"/>
          <w:lang w:val="en-US" w:eastAsia="zh-CN"/>
        </w:rPr>
        <w:t>0</w:t>
      </w:r>
      <w:r>
        <w:rPr>
          <w:rFonts w:ascii="Times New Roman" w:hAnsi="Times New Roman" w:eastAsia="方正仿宋_GBK" w:cs="方正仿宋_GBK"/>
          <w:sz w:val="32"/>
          <w:szCs w:val="32"/>
          <w:shd w:val="clear" w:color="auto" w:fill="FFFFFF"/>
        </w:rPr>
        <w:t>万元。</w:t>
      </w:r>
    </w:p>
    <w:p>
      <w:pPr>
        <w:pStyle w:val="10"/>
        <w:keepNext w:val="0"/>
        <w:keepLines w:val="0"/>
        <w:pageBreakBefore w:val="0"/>
        <w:widowControl w:val="0"/>
        <w:shd w:val="clear" w:color="auto" w:fill="FFFFFF"/>
        <w:kinsoku/>
        <w:wordWrap/>
        <w:overflowPunct/>
        <w:topLinePunct w:val="0"/>
        <w:autoSpaceDN/>
        <w:bidi w:val="0"/>
        <w:adjustRightInd/>
        <w:spacing w:before="0" w:beforeAutospacing="0" w:after="0" w:afterAutospacing="0" w:line="600" w:lineRule="exact"/>
        <w:ind w:firstLine="642" w:firstLineChars="200"/>
        <w:jc w:val="both"/>
        <w:textAlignment w:val="auto"/>
        <w:rPr>
          <w:rFonts w:hint="default" w:ascii="Times New Roman" w:hAnsi="Times New Roman" w:eastAsia="方正仿宋_GBK" w:cs="方正仿宋_GBK"/>
          <w:sz w:val="32"/>
          <w:szCs w:val="32"/>
          <w:shd w:val="clear" w:color="auto" w:fill="FFFFFF"/>
        </w:rPr>
      </w:pPr>
      <w:r>
        <w:rPr>
          <w:rStyle w:val="14"/>
          <w:rFonts w:hint="eastAsia" w:ascii="Times New Roman" w:hAnsi="Times New Roman" w:eastAsia="方正仿宋_GBK"/>
          <w:sz w:val="32"/>
          <w:szCs w:val="32"/>
          <w:shd w:val="clear" w:color="auto" w:fill="FFFFFF"/>
          <w:lang w:val="en-US" w:eastAsia="zh-CN"/>
        </w:rPr>
        <w:t>2</w:t>
      </w:r>
      <w:r>
        <w:rPr>
          <w:rStyle w:val="14"/>
          <w:rFonts w:ascii="Times New Roman" w:hAnsi="Times New Roman" w:eastAsia="方正仿宋_GBK" w:cs="方正仿宋_GBK"/>
          <w:sz w:val="32"/>
          <w:szCs w:val="32"/>
          <w:shd w:val="clear" w:color="auto" w:fill="FFFFFF"/>
        </w:rPr>
        <w:t>.支出情况。</w:t>
      </w:r>
      <w:r>
        <w:rPr>
          <w:rFonts w:hint="default" w:ascii="Times New Roman" w:hAnsi="Times New Roman" w:eastAsia="方正仿宋_GBK"/>
          <w:sz w:val="32"/>
          <w:szCs w:val="32"/>
          <w:shd w:val="clear" w:color="auto" w:fill="FFFFFF"/>
        </w:rPr>
        <w:t>2024</w:t>
      </w:r>
      <w:r>
        <w:rPr>
          <w:rFonts w:ascii="Times New Roman" w:hAnsi="Times New Roman" w:eastAsia="方正仿宋_GBK" w:cs="方正仿宋_GBK"/>
          <w:sz w:val="32"/>
          <w:szCs w:val="32"/>
          <w:shd w:val="clear" w:color="auto" w:fill="FFFFFF"/>
        </w:rPr>
        <w:t>年度支出合计</w:t>
      </w:r>
      <w:r>
        <w:rPr>
          <w:rFonts w:hint="default" w:ascii="Times New Roman" w:hAnsi="Times New Roman" w:eastAsia="方正仿宋_GBK"/>
          <w:sz w:val="32"/>
          <w:szCs w:val="32"/>
          <w:shd w:val="clear" w:color="auto" w:fill="FFFFFF"/>
        </w:rPr>
        <w:t>136.61</w:t>
      </w:r>
      <w:r>
        <w:rPr>
          <w:rFonts w:ascii="Times New Roman" w:hAnsi="Times New Roman" w:eastAsia="方正仿宋_GBK" w:cs="方正仿宋_GBK"/>
          <w:sz w:val="32"/>
          <w:szCs w:val="32"/>
          <w:shd w:val="clear" w:color="auto" w:fill="FFFFFF"/>
        </w:rPr>
        <w:t>万元，</w:t>
      </w:r>
      <w:r>
        <w:rPr>
          <w:rFonts w:hint="default" w:ascii="Times New Roman" w:hAnsi="Times New Roman" w:eastAsia="方正仿宋_GBK"/>
          <w:sz w:val="32"/>
          <w:szCs w:val="32"/>
          <w:shd w:val="clear" w:color="auto" w:fill="FFFFFF"/>
        </w:rPr>
        <w:t>与2023年度相比，增加19.56万元，增长16.7%</w:t>
      </w:r>
      <w:r>
        <w:rPr>
          <w:rFonts w:ascii="Times New Roman" w:hAnsi="Times New Roman" w:eastAsia="方正仿宋_GBK" w:cs="方正仿宋_GBK"/>
          <w:sz w:val="32"/>
          <w:szCs w:val="32"/>
          <w:shd w:val="clear" w:color="auto" w:fill="FFFFFF"/>
        </w:rPr>
        <w:t>，主要原因是</w:t>
      </w:r>
      <w:r>
        <w:rPr>
          <w:rFonts w:hint="eastAsia" w:ascii="Times New Roman" w:hAnsi="Times New Roman" w:eastAsia="方正仿宋_GBK" w:cs="方正仿宋_GBK"/>
          <w:sz w:val="32"/>
          <w:szCs w:val="32"/>
          <w:shd w:val="clear" w:color="auto" w:fill="FFFFFF"/>
          <w:lang w:eastAsia="zh-CN"/>
        </w:rPr>
        <w:t>新进人员及职工薪资调整。</w:t>
      </w:r>
      <w:r>
        <w:rPr>
          <w:rFonts w:ascii="Times New Roman" w:hAnsi="Times New Roman" w:eastAsia="方正仿宋_GBK" w:cs="方正仿宋_GBK"/>
          <w:sz w:val="32"/>
          <w:szCs w:val="32"/>
          <w:shd w:val="clear" w:color="auto" w:fill="FFFFFF"/>
        </w:rPr>
        <w:t>其中：基本支出</w:t>
      </w:r>
      <w:r>
        <w:rPr>
          <w:rFonts w:hint="default" w:ascii="Times New Roman" w:hAnsi="Times New Roman" w:eastAsia="方正仿宋_GBK"/>
          <w:sz w:val="32"/>
          <w:szCs w:val="32"/>
          <w:shd w:val="clear" w:color="auto" w:fill="FFFFFF"/>
        </w:rPr>
        <w:t>136.61</w:t>
      </w:r>
      <w:r>
        <w:rPr>
          <w:rFonts w:ascii="Times New Roman" w:hAnsi="Times New Roman" w:eastAsia="方正仿宋_GBK" w:cs="方正仿宋_GBK"/>
          <w:sz w:val="32"/>
          <w:szCs w:val="32"/>
          <w:shd w:val="clear" w:color="auto" w:fill="FFFFFF"/>
        </w:rPr>
        <w:t>万元，占</w:t>
      </w:r>
      <w:r>
        <w:rPr>
          <w:rFonts w:hint="default" w:ascii="Times New Roman" w:hAnsi="Times New Roman" w:eastAsia="方正仿宋_GBK"/>
          <w:sz w:val="32"/>
          <w:szCs w:val="32"/>
          <w:shd w:val="clear" w:color="auto" w:fill="FFFFFF"/>
        </w:rPr>
        <w:t>100.0%</w:t>
      </w:r>
      <w:r>
        <w:rPr>
          <w:rFonts w:ascii="Times New Roman" w:hAnsi="Times New Roman" w:eastAsia="方正仿宋_GBK" w:cs="方正仿宋_GBK"/>
          <w:sz w:val="32"/>
          <w:szCs w:val="32"/>
          <w:shd w:val="clear" w:color="auto" w:fill="FFFFFF"/>
        </w:rPr>
        <w:t>；项目支出</w:t>
      </w:r>
      <w:r>
        <w:rPr>
          <w:rFonts w:hint="eastAsia" w:ascii="Times New Roman" w:hAnsi="Times New Roman" w:eastAsia="方正仿宋_GBK"/>
          <w:sz w:val="32"/>
          <w:szCs w:val="32"/>
          <w:shd w:val="clear" w:color="auto" w:fill="FFFFFF"/>
          <w:lang w:eastAsia="zh-CN"/>
        </w:rPr>
        <w:t>0万元</w:t>
      </w:r>
      <w:r>
        <w:rPr>
          <w:rFonts w:ascii="Times New Roman" w:hAnsi="Times New Roman" w:eastAsia="方正仿宋_GBK" w:cs="方正仿宋_GBK"/>
          <w:sz w:val="32"/>
          <w:szCs w:val="32"/>
          <w:shd w:val="clear" w:color="auto" w:fill="FFFFFF"/>
        </w:rPr>
        <w:t>，占</w:t>
      </w:r>
      <w:r>
        <w:rPr>
          <w:rFonts w:hint="default" w:ascii="Times New Roman" w:hAnsi="Times New Roman" w:eastAsia="方正仿宋_GBK"/>
          <w:sz w:val="32"/>
          <w:szCs w:val="32"/>
          <w:shd w:val="clear" w:color="auto" w:fill="FFFFFF"/>
        </w:rPr>
        <w:t>0.0%</w:t>
      </w:r>
      <w:r>
        <w:rPr>
          <w:rFonts w:ascii="Times New Roman" w:hAnsi="Times New Roman" w:eastAsia="方正仿宋_GBK" w:cs="方正仿宋_GBK"/>
          <w:sz w:val="32"/>
          <w:szCs w:val="32"/>
          <w:shd w:val="clear" w:color="auto" w:fill="FFFFFF"/>
        </w:rPr>
        <w:t>；经营支出</w:t>
      </w:r>
      <w:r>
        <w:rPr>
          <w:rFonts w:hint="eastAsia" w:ascii="Times New Roman" w:hAnsi="Times New Roman" w:eastAsia="方正仿宋_GBK"/>
          <w:sz w:val="32"/>
          <w:szCs w:val="32"/>
          <w:lang w:eastAsia="zh-CN"/>
        </w:rPr>
        <w:t>0万元</w:t>
      </w:r>
      <w:r>
        <w:rPr>
          <w:rFonts w:ascii="Times New Roman" w:hAnsi="Times New Roman" w:eastAsia="方正仿宋_GBK" w:cs="方正仿宋_GBK"/>
          <w:sz w:val="32"/>
          <w:szCs w:val="32"/>
          <w:shd w:val="clear" w:color="auto" w:fill="FFFFFF"/>
        </w:rPr>
        <w:t>，占</w:t>
      </w:r>
      <w:r>
        <w:rPr>
          <w:rFonts w:hint="default" w:ascii="Times New Roman" w:hAnsi="Times New Roman" w:eastAsia="方正仿宋_GBK"/>
          <w:sz w:val="32"/>
          <w:szCs w:val="32"/>
          <w:shd w:val="clear" w:color="auto" w:fill="FFFFFF"/>
        </w:rPr>
        <w:t>0.0%</w:t>
      </w:r>
      <w:r>
        <w:rPr>
          <w:rFonts w:ascii="Times New Roman" w:hAnsi="Times New Roman" w:eastAsia="方正仿宋_GBK" w:cs="方正仿宋_GBK"/>
          <w:sz w:val="32"/>
          <w:szCs w:val="32"/>
          <w:shd w:val="clear" w:color="auto" w:fill="FFFFFF"/>
        </w:rPr>
        <w:t>。此外，结余分配</w:t>
      </w:r>
      <w:r>
        <w:rPr>
          <w:rFonts w:hint="eastAsia" w:ascii="Times New Roman" w:hAnsi="Times New Roman" w:eastAsia="方正仿宋_GBK"/>
          <w:sz w:val="32"/>
          <w:szCs w:val="32"/>
          <w:shd w:val="clear" w:color="auto" w:fill="FFFFFF"/>
          <w:lang w:eastAsia="zh-CN"/>
        </w:rPr>
        <w:t>0万元</w:t>
      </w:r>
      <w:r>
        <w:rPr>
          <w:rFonts w:ascii="Times New Roman" w:hAnsi="Times New Roman" w:eastAsia="方正仿宋_GBK" w:cs="方正仿宋_GBK"/>
          <w:sz w:val="32"/>
          <w:szCs w:val="32"/>
          <w:shd w:val="clear" w:color="auto" w:fill="FFFFFF"/>
        </w:rPr>
        <w:t>。</w:t>
      </w:r>
    </w:p>
    <w:p>
      <w:pPr>
        <w:pStyle w:val="10"/>
        <w:keepNext w:val="0"/>
        <w:keepLines w:val="0"/>
        <w:pageBreakBefore w:val="0"/>
        <w:widowControl w:val="0"/>
        <w:kinsoku/>
        <w:wordWrap/>
        <w:overflowPunct/>
        <w:topLinePunct w:val="0"/>
        <w:autoSpaceDN/>
        <w:bidi w:val="0"/>
        <w:adjustRightInd/>
        <w:snapToGrid w:val="0"/>
        <w:spacing w:before="0" w:beforeAutospacing="0" w:after="0" w:afterAutospacing="0" w:line="600" w:lineRule="exact"/>
        <w:ind w:firstLine="642" w:firstLineChars="200"/>
        <w:jc w:val="both"/>
        <w:textAlignment w:val="auto"/>
        <w:rPr>
          <w:rFonts w:hint="eastAsia" w:ascii="Times New Roman" w:hAnsi="Times New Roman" w:eastAsia="方正仿宋_GBK" w:cs="方正仿宋_GBK"/>
          <w:sz w:val="32"/>
          <w:szCs w:val="32"/>
          <w:lang w:eastAsia="zh-CN"/>
        </w:rPr>
      </w:pPr>
      <w:r>
        <w:rPr>
          <w:rStyle w:val="14"/>
          <w:rFonts w:hint="eastAsia" w:ascii="Times New Roman" w:hAnsi="Times New Roman" w:eastAsia="方正仿宋_GBK"/>
          <w:sz w:val="32"/>
          <w:szCs w:val="32"/>
          <w:shd w:val="clear" w:color="auto" w:fill="FFFFFF"/>
          <w:lang w:val="en-US" w:eastAsia="zh-CN"/>
        </w:rPr>
        <w:t>3</w:t>
      </w:r>
      <w:r>
        <w:rPr>
          <w:rStyle w:val="14"/>
          <w:rFonts w:ascii="Times New Roman" w:hAnsi="Times New Roman" w:eastAsia="方正仿宋_GBK" w:cs="方正仿宋_GBK"/>
          <w:sz w:val="32"/>
          <w:szCs w:val="32"/>
          <w:shd w:val="clear" w:color="auto" w:fill="FFFFFF"/>
        </w:rPr>
        <w:t>.结转结余情况。</w:t>
      </w:r>
      <w:r>
        <w:rPr>
          <w:rFonts w:hint="default" w:ascii="Times New Roman" w:hAnsi="Times New Roman" w:eastAsia="方正仿宋_GBK"/>
          <w:sz w:val="32"/>
          <w:szCs w:val="32"/>
          <w:shd w:val="clear" w:color="auto" w:fill="FFFFFF"/>
        </w:rPr>
        <w:t>2024</w:t>
      </w:r>
      <w:r>
        <w:rPr>
          <w:rFonts w:ascii="Times New Roman" w:hAnsi="Times New Roman" w:eastAsia="方正仿宋_GBK" w:cs="方正仿宋_GBK"/>
          <w:sz w:val="32"/>
          <w:szCs w:val="32"/>
          <w:shd w:val="clear" w:color="auto" w:fill="FFFFFF"/>
        </w:rPr>
        <w:t>年度年末结转和结余</w:t>
      </w:r>
      <w:r>
        <w:rPr>
          <w:rFonts w:hint="eastAsia" w:ascii="Times New Roman" w:hAnsi="Times New Roman" w:eastAsia="方正仿宋_GBK"/>
          <w:sz w:val="32"/>
          <w:szCs w:val="32"/>
          <w:shd w:val="clear" w:color="auto" w:fill="FFFFFF"/>
          <w:lang w:eastAsia="zh-CN"/>
        </w:rPr>
        <w:t>0万元</w:t>
      </w:r>
      <w:r>
        <w:rPr>
          <w:rFonts w:ascii="Times New Roman" w:hAnsi="Times New Roman" w:eastAsia="方正仿宋_GBK" w:cs="方正仿宋_GBK"/>
          <w:sz w:val="32"/>
          <w:szCs w:val="32"/>
          <w:shd w:val="clear" w:color="auto" w:fill="FFFFFF"/>
        </w:rPr>
        <w:t>，</w:t>
      </w:r>
      <w:r>
        <w:rPr>
          <w:rFonts w:hint="default" w:ascii="Times New Roman" w:hAnsi="Times New Roman" w:eastAsia="方正仿宋_GBK"/>
          <w:sz w:val="32"/>
          <w:szCs w:val="32"/>
          <w:shd w:val="clear" w:color="auto" w:fill="FFFFFF"/>
        </w:rPr>
        <w:t>与2023年度相比，无增减</w:t>
      </w:r>
      <w:r>
        <w:rPr>
          <w:rFonts w:hint="eastAsia" w:ascii="Times New Roman" w:hAnsi="Times New Roman" w:eastAsia="方正仿宋_GBK"/>
          <w:sz w:val="32"/>
          <w:szCs w:val="32"/>
          <w:shd w:val="clear" w:color="auto" w:fill="FFFFFF"/>
          <w:lang w:eastAsia="zh-CN"/>
        </w:rPr>
        <w:t>。</w:t>
      </w:r>
    </w:p>
    <w:p>
      <w:pPr>
        <w:pStyle w:val="15"/>
        <w:keepNext w:val="0"/>
        <w:keepLines w:val="0"/>
        <w:pageBreakBefore w:val="0"/>
        <w:widowControl w:val="0"/>
        <w:kinsoku/>
        <w:wordWrap/>
        <w:overflowPunct/>
        <w:topLinePunct w:val="0"/>
        <w:autoSpaceDE w:val="0"/>
        <w:autoSpaceDN/>
        <w:bidi w:val="0"/>
        <w:adjustRightInd/>
        <w:snapToGrid/>
        <w:spacing w:beforeAutospacing="0" w:afterAutospacing="0" w:line="600" w:lineRule="exact"/>
        <w:ind w:firstLine="642" w:firstLineChars="200"/>
        <w:textAlignment w:val="auto"/>
        <w:rPr>
          <w:rFonts w:ascii="Times New Roman" w:hAnsi="Times New Roman" w:eastAsia="方正仿宋_GBK" w:cs="楷体"/>
          <w:b/>
          <w:bCs/>
          <w:sz w:val="32"/>
          <w:szCs w:val="32"/>
          <w:shd w:val="clear" w:color="auto" w:fill="FFFFFF"/>
        </w:rPr>
      </w:pPr>
      <w:r>
        <w:rPr>
          <w:rFonts w:hint="eastAsia" w:ascii="Times New Roman" w:hAnsi="Times New Roman" w:eastAsia="方正仿宋_GBK" w:cs="楷体"/>
          <w:b/>
          <w:bCs/>
          <w:sz w:val="32"/>
          <w:szCs w:val="32"/>
          <w:shd w:val="clear" w:color="auto" w:fill="FFFFFF"/>
        </w:rPr>
        <w:t>（二）财政拨款收入支出决算总体情况说明</w:t>
      </w:r>
    </w:p>
    <w:p>
      <w:pPr>
        <w:pStyle w:val="10"/>
        <w:keepNext w:val="0"/>
        <w:keepLines w:val="0"/>
        <w:pageBreakBefore w:val="0"/>
        <w:widowControl w:val="0"/>
        <w:shd w:val="clear" w:color="auto" w:fill="FFFFFF"/>
        <w:kinsoku/>
        <w:wordWrap/>
        <w:overflowPunct/>
        <w:topLinePunct w:val="0"/>
        <w:autoSpaceDN/>
        <w:bidi w:val="0"/>
        <w:adjustRightInd/>
        <w:spacing w:before="0" w:beforeAutospacing="0" w:after="0" w:afterAutospacing="0" w:line="600" w:lineRule="exact"/>
        <w:ind w:firstLine="640" w:firstLineChars="200"/>
        <w:jc w:val="both"/>
        <w:textAlignment w:val="auto"/>
        <w:rPr>
          <w:rFonts w:hint="default" w:ascii="Times New Roman" w:hAnsi="Times New Roman" w:eastAsia="方正仿宋_GBK" w:cs="方正仿宋_GBK"/>
          <w:sz w:val="32"/>
          <w:szCs w:val="32"/>
        </w:rPr>
      </w:pPr>
      <w:r>
        <w:rPr>
          <w:rFonts w:hint="default" w:ascii="Times New Roman" w:hAnsi="Times New Roman" w:eastAsia="方正仿宋_GBK"/>
          <w:sz w:val="32"/>
          <w:szCs w:val="32"/>
          <w:shd w:val="clear" w:color="auto" w:fill="FFFFFF"/>
        </w:rPr>
        <w:t>2024</w:t>
      </w:r>
      <w:r>
        <w:rPr>
          <w:rFonts w:ascii="Times New Roman" w:hAnsi="Times New Roman" w:eastAsia="方正仿宋_GBK" w:cs="方正仿宋_GBK"/>
          <w:sz w:val="32"/>
          <w:szCs w:val="32"/>
          <w:shd w:val="clear" w:color="auto" w:fill="FFFFFF"/>
        </w:rPr>
        <w:t>年度财政拨款收、支总计均为</w:t>
      </w:r>
      <w:r>
        <w:rPr>
          <w:rFonts w:hint="default" w:ascii="Times New Roman" w:hAnsi="Times New Roman" w:eastAsia="方正仿宋_GBK"/>
          <w:sz w:val="32"/>
          <w:szCs w:val="32"/>
          <w:shd w:val="clear" w:color="auto" w:fill="FFFFFF"/>
        </w:rPr>
        <w:t>136.61</w:t>
      </w:r>
      <w:r>
        <w:rPr>
          <w:rFonts w:ascii="Times New Roman" w:hAnsi="Times New Roman" w:eastAsia="方正仿宋_GBK" w:cs="方正仿宋_GBK"/>
          <w:sz w:val="32"/>
          <w:szCs w:val="32"/>
          <w:shd w:val="clear" w:color="auto" w:fill="FFFFFF"/>
        </w:rPr>
        <w:t>万元。与</w:t>
      </w:r>
      <w:r>
        <w:rPr>
          <w:rFonts w:hint="default" w:ascii="Times New Roman" w:hAnsi="Times New Roman" w:eastAsia="方正仿宋_GBK"/>
          <w:sz w:val="32"/>
          <w:szCs w:val="32"/>
          <w:shd w:val="clear" w:color="auto" w:fill="FFFFFF"/>
        </w:rPr>
        <w:t>2023</w:t>
      </w:r>
      <w:r>
        <w:rPr>
          <w:rFonts w:ascii="Times New Roman" w:hAnsi="Times New Roman" w:eastAsia="方正仿宋_GBK" w:cs="方正仿宋_GBK"/>
          <w:sz w:val="32"/>
          <w:szCs w:val="32"/>
          <w:shd w:val="clear" w:color="auto" w:fill="FFFFFF"/>
        </w:rPr>
        <w:t>年</w:t>
      </w:r>
      <w:r>
        <w:rPr>
          <w:rFonts w:hint="eastAsia" w:ascii="Times New Roman" w:hAnsi="Times New Roman" w:eastAsia="方正仿宋_GBK" w:cs="方正仿宋_GBK"/>
          <w:sz w:val="32"/>
          <w:szCs w:val="32"/>
          <w:shd w:val="clear" w:color="auto" w:fill="FFFFFF"/>
          <w:lang w:eastAsia="zh-CN"/>
        </w:rPr>
        <w:t>度</w:t>
      </w:r>
      <w:r>
        <w:rPr>
          <w:rFonts w:ascii="Times New Roman" w:hAnsi="Times New Roman" w:eastAsia="方正仿宋_GBK" w:cs="方正仿宋_GBK"/>
          <w:sz w:val="32"/>
          <w:szCs w:val="32"/>
          <w:shd w:val="clear" w:color="auto" w:fill="FFFFFF"/>
        </w:rPr>
        <w:t>相比，</w:t>
      </w:r>
      <w:r>
        <w:rPr>
          <w:rFonts w:hint="default" w:ascii="Times New Roman" w:hAnsi="Times New Roman" w:eastAsia="方正仿宋_GBK"/>
          <w:sz w:val="32"/>
          <w:szCs w:val="32"/>
          <w:shd w:val="clear" w:color="auto" w:fill="FFFFFF"/>
        </w:rPr>
        <w:t>财政拨款收、支总计各增加19.56万元，增长16.7%</w:t>
      </w:r>
      <w:r>
        <w:rPr>
          <w:rFonts w:ascii="Times New Roman" w:hAnsi="Times New Roman" w:eastAsia="方正仿宋_GBK" w:cs="方正仿宋_GBK"/>
          <w:sz w:val="32"/>
          <w:szCs w:val="32"/>
          <w:shd w:val="clear" w:color="auto" w:fill="FFFFFF"/>
        </w:rPr>
        <w:t>。主要原因是</w:t>
      </w:r>
      <w:r>
        <w:rPr>
          <w:rFonts w:hint="eastAsia" w:ascii="Times New Roman" w:hAnsi="Times New Roman" w:eastAsia="方正仿宋_GBK" w:cs="方正仿宋_GBK"/>
          <w:sz w:val="32"/>
          <w:szCs w:val="32"/>
          <w:shd w:val="clear" w:color="auto" w:fill="FFFFFF"/>
          <w:lang w:eastAsia="zh-CN"/>
        </w:rPr>
        <w:t>新进人员及职工薪资调整。</w:t>
      </w:r>
    </w:p>
    <w:p>
      <w:pPr>
        <w:pStyle w:val="15"/>
        <w:keepNext w:val="0"/>
        <w:keepLines w:val="0"/>
        <w:pageBreakBefore w:val="0"/>
        <w:widowControl w:val="0"/>
        <w:kinsoku/>
        <w:wordWrap/>
        <w:overflowPunct/>
        <w:topLinePunct w:val="0"/>
        <w:autoSpaceDE w:val="0"/>
        <w:autoSpaceDN/>
        <w:bidi w:val="0"/>
        <w:adjustRightInd/>
        <w:snapToGrid/>
        <w:spacing w:beforeAutospacing="0" w:afterAutospacing="0" w:line="600" w:lineRule="exact"/>
        <w:ind w:firstLine="642" w:firstLineChars="200"/>
        <w:textAlignment w:val="auto"/>
        <w:rPr>
          <w:rFonts w:ascii="Times New Roman" w:hAnsi="Times New Roman" w:eastAsia="方正仿宋_GBK" w:cs="楷体"/>
          <w:b/>
          <w:bCs/>
          <w:sz w:val="32"/>
          <w:szCs w:val="32"/>
          <w:shd w:val="clear" w:color="auto" w:fill="FFFFFF"/>
        </w:rPr>
      </w:pPr>
      <w:r>
        <w:rPr>
          <w:rFonts w:hint="eastAsia" w:ascii="Times New Roman" w:hAnsi="Times New Roman" w:eastAsia="方正仿宋_GBK" w:cs="楷体"/>
          <w:b/>
          <w:bCs/>
          <w:sz w:val="32"/>
          <w:szCs w:val="32"/>
          <w:shd w:val="clear" w:color="auto" w:fill="FFFFFF"/>
        </w:rPr>
        <w:t>（三）一般公共预算财政拨款收入支出决算情况说明</w:t>
      </w:r>
    </w:p>
    <w:p>
      <w:pPr>
        <w:pStyle w:val="10"/>
        <w:keepNext w:val="0"/>
        <w:keepLines w:val="0"/>
        <w:pageBreakBefore w:val="0"/>
        <w:widowControl w:val="0"/>
        <w:shd w:val="clear" w:color="auto" w:fill="FFFFFF"/>
        <w:kinsoku/>
        <w:wordWrap/>
        <w:overflowPunct/>
        <w:topLinePunct w:val="0"/>
        <w:autoSpaceDN/>
        <w:bidi w:val="0"/>
        <w:adjustRightInd/>
        <w:spacing w:before="0" w:beforeAutospacing="0" w:after="0" w:afterAutospacing="0" w:line="600" w:lineRule="exact"/>
        <w:ind w:firstLine="642" w:firstLineChars="200"/>
        <w:jc w:val="both"/>
        <w:textAlignment w:val="auto"/>
        <w:rPr>
          <w:rFonts w:hint="default" w:ascii="Times New Roman" w:hAnsi="Times New Roman" w:eastAsia="方正仿宋_GBK" w:cs="方正仿宋_GBK"/>
          <w:sz w:val="32"/>
          <w:szCs w:val="32"/>
        </w:rPr>
      </w:pPr>
      <w:r>
        <w:rPr>
          <w:rStyle w:val="14"/>
          <w:rFonts w:hint="default" w:ascii="Times New Roman" w:hAnsi="Times New Roman" w:eastAsia="方正仿宋_GBK"/>
          <w:sz w:val="32"/>
          <w:szCs w:val="32"/>
          <w:shd w:val="clear" w:color="auto" w:fill="FFFFFF"/>
        </w:rPr>
        <w:t>1</w:t>
      </w:r>
      <w:r>
        <w:rPr>
          <w:rStyle w:val="14"/>
          <w:rFonts w:ascii="Times New Roman" w:hAnsi="Times New Roman" w:eastAsia="方正仿宋_GBK" w:cs="方正仿宋_GBK"/>
          <w:sz w:val="32"/>
          <w:szCs w:val="32"/>
          <w:shd w:val="clear" w:color="auto" w:fill="FFFFFF"/>
        </w:rPr>
        <w:t>.收入情况。</w:t>
      </w:r>
      <w:r>
        <w:rPr>
          <w:rFonts w:hint="default" w:ascii="Times New Roman" w:hAnsi="Times New Roman" w:eastAsia="方正仿宋_GBK"/>
          <w:sz w:val="32"/>
          <w:szCs w:val="32"/>
          <w:shd w:val="clear" w:color="auto" w:fill="FFFFFF"/>
        </w:rPr>
        <w:t>2024</w:t>
      </w:r>
      <w:r>
        <w:rPr>
          <w:rFonts w:ascii="Times New Roman" w:hAnsi="Times New Roman" w:eastAsia="方正仿宋_GBK" w:cs="方正仿宋_GBK"/>
          <w:sz w:val="32"/>
          <w:szCs w:val="32"/>
          <w:shd w:val="clear" w:color="auto" w:fill="FFFFFF"/>
        </w:rPr>
        <w:t>年度一般公共预算财政拨款收入</w:t>
      </w:r>
      <w:r>
        <w:rPr>
          <w:rFonts w:hint="default" w:ascii="Times New Roman" w:hAnsi="Times New Roman" w:eastAsia="方正仿宋_GBK"/>
          <w:sz w:val="32"/>
          <w:szCs w:val="32"/>
          <w:shd w:val="clear" w:color="auto" w:fill="FFFFFF"/>
        </w:rPr>
        <w:t>136.61</w:t>
      </w:r>
      <w:r>
        <w:rPr>
          <w:rFonts w:ascii="Times New Roman" w:hAnsi="Times New Roman" w:eastAsia="方正仿宋_GBK" w:cs="方正仿宋_GBK"/>
          <w:sz w:val="32"/>
          <w:szCs w:val="32"/>
          <w:shd w:val="clear" w:color="auto" w:fill="FFFFFF"/>
        </w:rPr>
        <w:t>万元，</w:t>
      </w:r>
      <w:r>
        <w:rPr>
          <w:rFonts w:hint="default" w:ascii="Times New Roman" w:hAnsi="Times New Roman" w:eastAsia="方正仿宋_GBK"/>
          <w:sz w:val="32"/>
          <w:szCs w:val="32"/>
          <w:shd w:val="clear" w:color="auto" w:fill="FFFFFF"/>
        </w:rPr>
        <w:t>与2023年度相比，增加19.56万元，增长16.7%</w:t>
      </w:r>
      <w:r>
        <w:rPr>
          <w:rFonts w:ascii="Times New Roman" w:hAnsi="Times New Roman" w:eastAsia="方正仿宋_GBK" w:cs="方正仿宋_GBK"/>
          <w:sz w:val="32"/>
          <w:szCs w:val="32"/>
          <w:shd w:val="clear" w:color="auto" w:fill="FFFFFF"/>
        </w:rPr>
        <w:t>。</w:t>
      </w:r>
      <w:r>
        <w:rPr>
          <w:rFonts w:hint="default" w:ascii="Times New Roman" w:hAnsi="Times New Roman" w:eastAsia="方正仿宋_GBK"/>
          <w:sz w:val="32"/>
          <w:szCs w:val="32"/>
          <w:shd w:val="clear" w:color="auto" w:fill="FFFFFF"/>
        </w:rPr>
        <w:t>较年初预算数增加4.93万元，增长3.7%</w:t>
      </w:r>
      <w:r>
        <w:rPr>
          <w:rFonts w:ascii="Times New Roman" w:hAnsi="Times New Roman" w:eastAsia="方正仿宋_GBK" w:cs="方正仿宋_GBK"/>
          <w:sz w:val="32"/>
          <w:szCs w:val="32"/>
          <w:shd w:val="clear" w:color="auto" w:fill="FFFFFF"/>
        </w:rPr>
        <w:t>。主要原因是</w:t>
      </w:r>
      <w:r>
        <w:rPr>
          <w:rFonts w:hint="eastAsia" w:ascii="Times New Roman" w:hAnsi="Times New Roman" w:eastAsia="方正仿宋_GBK" w:cs="方正仿宋_GBK"/>
          <w:sz w:val="32"/>
          <w:szCs w:val="32"/>
          <w:shd w:val="clear" w:color="auto" w:fill="FFFFFF"/>
          <w:lang w:eastAsia="zh-CN"/>
        </w:rPr>
        <w:t>新进人员及职工薪资调整。</w:t>
      </w:r>
      <w:r>
        <w:rPr>
          <w:rFonts w:ascii="Times New Roman" w:hAnsi="Times New Roman" w:eastAsia="方正仿宋_GBK" w:cs="方正仿宋_GBK"/>
          <w:sz w:val="32"/>
          <w:szCs w:val="32"/>
          <w:shd w:val="clear" w:color="auto" w:fill="FFFFFF"/>
        </w:rPr>
        <w:t>此外，年初财政拨款结转和结余</w:t>
      </w:r>
      <w:r>
        <w:rPr>
          <w:rFonts w:hint="eastAsia" w:ascii="Times New Roman" w:hAnsi="Times New Roman" w:eastAsia="方正仿宋_GBK"/>
          <w:sz w:val="32"/>
          <w:szCs w:val="32"/>
          <w:shd w:val="clear" w:color="auto" w:fill="FFFFFF"/>
          <w:lang w:eastAsia="zh-CN"/>
        </w:rPr>
        <w:t>0万元</w:t>
      </w:r>
      <w:r>
        <w:rPr>
          <w:rFonts w:ascii="Times New Roman" w:hAnsi="Times New Roman" w:eastAsia="方正仿宋_GBK" w:cs="方正仿宋_GBK"/>
          <w:sz w:val="32"/>
          <w:szCs w:val="32"/>
          <w:shd w:val="clear" w:color="auto" w:fill="FFFFFF"/>
        </w:rPr>
        <w:t>。</w:t>
      </w:r>
    </w:p>
    <w:p>
      <w:pPr>
        <w:pStyle w:val="10"/>
        <w:keepNext w:val="0"/>
        <w:keepLines w:val="0"/>
        <w:pageBreakBefore w:val="0"/>
        <w:widowControl w:val="0"/>
        <w:shd w:val="clear" w:color="auto" w:fill="FFFFFF"/>
        <w:kinsoku/>
        <w:wordWrap/>
        <w:overflowPunct/>
        <w:topLinePunct w:val="0"/>
        <w:autoSpaceDN/>
        <w:bidi w:val="0"/>
        <w:adjustRightInd/>
        <w:spacing w:before="0" w:beforeAutospacing="0" w:after="0" w:afterAutospacing="0" w:line="600" w:lineRule="exact"/>
        <w:ind w:firstLine="642" w:firstLineChars="200"/>
        <w:jc w:val="both"/>
        <w:textAlignment w:val="auto"/>
        <w:rPr>
          <w:rFonts w:ascii="Times New Roman" w:hAnsi="Times New Roman" w:eastAsia="方正仿宋_GBK" w:cs="方正仿宋_GBK"/>
          <w:color w:val="FF0000"/>
          <w:sz w:val="32"/>
          <w:szCs w:val="32"/>
          <w:shd w:val="clear" w:color="auto" w:fill="FFFFFF"/>
        </w:rPr>
      </w:pPr>
      <w:r>
        <w:rPr>
          <w:rStyle w:val="14"/>
          <w:rFonts w:hint="default" w:ascii="Times New Roman" w:hAnsi="Times New Roman" w:eastAsia="方正仿宋_GBK"/>
          <w:sz w:val="32"/>
          <w:szCs w:val="32"/>
          <w:shd w:val="clear" w:color="auto" w:fill="FFFFFF"/>
        </w:rPr>
        <w:t>2</w:t>
      </w:r>
      <w:r>
        <w:rPr>
          <w:rStyle w:val="14"/>
          <w:rFonts w:ascii="Times New Roman" w:hAnsi="Times New Roman" w:eastAsia="方正仿宋_GBK" w:cs="方正仿宋_GBK"/>
          <w:sz w:val="32"/>
          <w:szCs w:val="32"/>
          <w:shd w:val="clear" w:color="auto" w:fill="FFFFFF"/>
        </w:rPr>
        <w:t>.支出情况。</w:t>
      </w:r>
      <w:r>
        <w:rPr>
          <w:rFonts w:hint="default" w:ascii="Times New Roman" w:hAnsi="Times New Roman" w:eastAsia="方正仿宋_GBK"/>
          <w:sz w:val="32"/>
          <w:szCs w:val="32"/>
          <w:shd w:val="clear" w:color="auto" w:fill="FFFFFF"/>
        </w:rPr>
        <w:t>2024</w:t>
      </w:r>
      <w:r>
        <w:rPr>
          <w:rFonts w:ascii="Times New Roman" w:hAnsi="Times New Roman" w:eastAsia="方正仿宋_GBK" w:cs="方正仿宋_GBK"/>
          <w:sz w:val="32"/>
          <w:szCs w:val="32"/>
          <w:shd w:val="clear" w:color="auto" w:fill="FFFFFF"/>
        </w:rPr>
        <w:t>年度一般公共预算财政拨款支出</w:t>
      </w:r>
      <w:r>
        <w:rPr>
          <w:rFonts w:hint="default" w:ascii="Times New Roman" w:hAnsi="Times New Roman" w:eastAsia="方正仿宋_GBK"/>
          <w:sz w:val="32"/>
          <w:szCs w:val="32"/>
          <w:shd w:val="clear" w:color="auto" w:fill="FFFFFF"/>
        </w:rPr>
        <w:t>136.61</w:t>
      </w:r>
      <w:r>
        <w:rPr>
          <w:rFonts w:ascii="Times New Roman" w:hAnsi="Times New Roman" w:eastAsia="方正仿宋_GBK" w:cs="方正仿宋_GBK"/>
          <w:sz w:val="32"/>
          <w:szCs w:val="32"/>
          <w:shd w:val="clear" w:color="auto" w:fill="FFFFFF"/>
        </w:rPr>
        <w:t>万元，</w:t>
      </w:r>
      <w:r>
        <w:rPr>
          <w:rFonts w:hint="default" w:ascii="Times New Roman" w:hAnsi="Times New Roman" w:eastAsia="方正仿宋_GBK"/>
          <w:sz w:val="32"/>
          <w:szCs w:val="32"/>
          <w:shd w:val="clear" w:color="auto" w:fill="FFFFFF"/>
        </w:rPr>
        <w:t>与2023年度相比，增加19.56万元，增长16.7%</w:t>
      </w:r>
      <w:r>
        <w:rPr>
          <w:rFonts w:ascii="Times New Roman" w:hAnsi="Times New Roman" w:eastAsia="方正仿宋_GBK" w:cs="方正仿宋_GBK"/>
          <w:sz w:val="32"/>
          <w:szCs w:val="32"/>
          <w:shd w:val="clear" w:color="auto" w:fill="FFFFFF"/>
        </w:rPr>
        <w:t>。主要原因是</w:t>
      </w:r>
      <w:r>
        <w:rPr>
          <w:rFonts w:hint="eastAsia" w:ascii="Times New Roman" w:hAnsi="Times New Roman" w:eastAsia="方正仿宋_GBK" w:cs="方正仿宋_GBK"/>
          <w:sz w:val="32"/>
          <w:szCs w:val="32"/>
          <w:shd w:val="clear" w:color="auto" w:fill="FFFFFF"/>
          <w:lang w:eastAsia="zh-CN"/>
        </w:rPr>
        <w:t>新进人员及职工薪资调整。</w:t>
      </w:r>
      <w:r>
        <w:rPr>
          <w:rFonts w:hint="default" w:ascii="Times New Roman" w:hAnsi="Times New Roman" w:eastAsia="方正仿宋_GBK"/>
          <w:sz w:val="32"/>
          <w:szCs w:val="32"/>
          <w:shd w:val="clear" w:color="auto" w:fill="FFFFFF"/>
        </w:rPr>
        <w:t>较年初预算数增加4.93万元，增长3.7%</w:t>
      </w:r>
      <w:r>
        <w:rPr>
          <w:rFonts w:ascii="Times New Roman" w:hAnsi="Times New Roman" w:eastAsia="方正仿宋_GBK" w:cs="方正仿宋_GBK"/>
          <w:sz w:val="32"/>
          <w:szCs w:val="32"/>
          <w:shd w:val="clear" w:color="auto" w:fill="FFFFFF"/>
        </w:rPr>
        <w:t>。主要原因是</w:t>
      </w:r>
      <w:r>
        <w:rPr>
          <w:rFonts w:hint="eastAsia" w:ascii="Times New Roman" w:hAnsi="Times New Roman" w:eastAsia="方正仿宋_GBK" w:cs="方正仿宋_GBK"/>
          <w:sz w:val="32"/>
          <w:szCs w:val="32"/>
          <w:shd w:val="clear" w:color="auto" w:fill="FFFFFF"/>
          <w:lang w:eastAsia="zh-CN"/>
        </w:rPr>
        <w:t>新进人员及职工薪资调整。</w:t>
      </w:r>
    </w:p>
    <w:p>
      <w:pPr>
        <w:pStyle w:val="10"/>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firstLine="640" w:firstLineChars="200"/>
        <w:jc w:val="both"/>
        <w:textAlignment w:val="auto"/>
        <w:rPr>
          <w:rFonts w:ascii="Times New Roman" w:hAnsi="Times New Roman" w:eastAsia="方正仿宋_GBK" w:cs="方正仿宋_GBK"/>
          <w:sz w:val="32"/>
          <w:szCs w:val="32"/>
          <w:highlight w:val="none"/>
          <w:shd w:val="clear" w:color="auto" w:fill="FFFFFF"/>
        </w:rPr>
      </w:pPr>
      <w:r>
        <w:rPr>
          <w:rFonts w:ascii="Times New Roman" w:hAnsi="Times New Roman" w:eastAsia="方正仿宋_GBK" w:cs="方正仿宋_GBK"/>
          <w:sz w:val="32"/>
          <w:szCs w:val="32"/>
          <w:highlight w:val="none"/>
          <w:shd w:val="clear" w:color="auto" w:fill="FFFFFF"/>
        </w:rPr>
        <w:t>一般公共预算财政拨款支出主要</w:t>
      </w:r>
      <w:r>
        <w:rPr>
          <w:rFonts w:hint="eastAsia" w:ascii="Times New Roman" w:hAnsi="Times New Roman" w:eastAsia="方正仿宋_GBK" w:cs="方正仿宋_GBK"/>
          <w:sz w:val="32"/>
          <w:szCs w:val="32"/>
          <w:highlight w:val="none"/>
          <w:shd w:val="clear" w:color="auto" w:fill="FFFFFF"/>
          <w:lang w:eastAsia="zh-CN"/>
        </w:rPr>
        <w:t>用途如下</w:t>
      </w:r>
      <w:r>
        <w:rPr>
          <w:rFonts w:ascii="Times New Roman" w:hAnsi="Times New Roman" w:eastAsia="方正仿宋_GBK" w:cs="方正仿宋_GBK"/>
          <w:sz w:val="32"/>
          <w:szCs w:val="32"/>
          <w:highlight w:val="none"/>
          <w:shd w:val="clear" w:color="auto" w:fill="FFFFFF"/>
        </w:rPr>
        <w:t>：</w:t>
      </w:r>
    </w:p>
    <w:p>
      <w:pPr>
        <w:pStyle w:val="10"/>
        <w:keepNext w:val="0"/>
        <w:keepLines w:val="0"/>
        <w:pageBreakBefore w:val="0"/>
        <w:widowControl w:val="0"/>
        <w:kinsoku/>
        <w:wordWrap/>
        <w:overflowPunct/>
        <w:topLinePunct w:val="0"/>
        <w:autoSpaceDN/>
        <w:bidi w:val="0"/>
        <w:adjustRightInd/>
        <w:snapToGrid w:val="0"/>
        <w:spacing w:before="0" w:beforeAutospacing="0" w:after="0" w:afterAutospacing="0" w:line="600" w:lineRule="exact"/>
        <w:ind w:firstLine="640" w:firstLineChars="200"/>
        <w:jc w:val="both"/>
        <w:textAlignment w:val="auto"/>
        <w:rPr>
          <w:rFonts w:hint="eastAsia" w:ascii="Times New Roman" w:hAnsi="Times New Roman" w:eastAsia="方正仿宋_GBK" w:cs="方正仿宋_GBK"/>
          <w:sz w:val="32"/>
          <w:szCs w:val="32"/>
          <w:shd w:val="clear" w:color="auto" w:fill="FFFFFF"/>
          <w:lang w:eastAsia="zh-CN"/>
        </w:rPr>
      </w:pPr>
      <w:r>
        <w:rPr>
          <w:rFonts w:ascii="Times New Roman" w:hAnsi="Times New Roman" w:eastAsia="方正仿宋_GBK" w:cs="方正仿宋_GBK"/>
          <w:sz w:val="32"/>
          <w:szCs w:val="32"/>
          <w:shd w:val="clear" w:color="auto" w:fill="FFFFFF"/>
        </w:rPr>
        <w:t>（</w:t>
      </w:r>
      <w:r>
        <w:rPr>
          <w:rFonts w:hint="eastAsia" w:ascii="Times New Roman" w:hAnsi="Times New Roman" w:eastAsia="方正仿宋_GBK"/>
          <w:sz w:val="32"/>
          <w:szCs w:val="32"/>
          <w:shd w:val="clear" w:color="auto" w:fill="FFFFFF"/>
          <w:lang w:val="en-US" w:eastAsia="zh-CN"/>
        </w:rPr>
        <w:t>1</w:t>
      </w:r>
      <w:r>
        <w:rPr>
          <w:rFonts w:ascii="Times New Roman" w:hAnsi="Times New Roman" w:eastAsia="方正仿宋_GBK" w:cs="方正仿宋_GBK"/>
          <w:sz w:val="32"/>
          <w:szCs w:val="32"/>
          <w:shd w:val="clear" w:color="auto" w:fill="FFFFFF"/>
        </w:rPr>
        <w:t>）社会保障</w:t>
      </w:r>
      <w:r>
        <w:rPr>
          <w:rFonts w:hint="eastAsia" w:ascii="Times New Roman" w:hAnsi="Times New Roman" w:eastAsia="方正仿宋_GBK" w:cs="方正仿宋_GBK"/>
          <w:sz w:val="32"/>
          <w:szCs w:val="32"/>
          <w:shd w:val="clear" w:color="auto" w:fill="FFFFFF"/>
          <w:lang w:eastAsia="zh-CN"/>
        </w:rPr>
        <w:t>和</w:t>
      </w:r>
      <w:r>
        <w:rPr>
          <w:rFonts w:ascii="Times New Roman" w:hAnsi="Times New Roman" w:eastAsia="方正仿宋_GBK" w:cs="方正仿宋_GBK"/>
          <w:sz w:val="32"/>
          <w:szCs w:val="32"/>
          <w:shd w:val="clear" w:color="auto" w:fill="FFFFFF"/>
        </w:rPr>
        <w:t>就业支出</w:t>
      </w:r>
      <w:r>
        <w:rPr>
          <w:rFonts w:hint="default" w:ascii="Times New Roman" w:hAnsi="Times New Roman" w:eastAsia="方正仿宋_GBK"/>
          <w:sz w:val="32"/>
          <w:szCs w:val="32"/>
          <w:shd w:val="clear" w:color="auto" w:fill="FFFFFF"/>
        </w:rPr>
        <w:t>13.82</w:t>
      </w:r>
      <w:r>
        <w:rPr>
          <w:rFonts w:ascii="Times New Roman" w:hAnsi="Times New Roman" w:eastAsia="方正仿宋_GBK" w:cs="方正仿宋_GBK"/>
          <w:sz w:val="32"/>
          <w:szCs w:val="32"/>
          <w:shd w:val="clear" w:color="auto" w:fill="FFFFFF"/>
        </w:rPr>
        <w:t>万元，占</w:t>
      </w:r>
      <w:r>
        <w:rPr>
          <w:rFonts w:hint="default" w:ascii="Times New Roman" w:hAnsi="Times New Roman" w:eastAsia="方正仿宋_GBK"/>
          <w:sz w:val="32"/>
          <w:szCs w:val="32"/>
          <w:shd w:val="clear" w:color="auto" w:fill="FFFFFF"/>
        </w:rPr>
        <w:t>10.1%</w:t>
      </w:r>
      <w:r>
        <w:rPr>
          <w:rFonts w:ascii="Times New Roman" w:hAnsi="Times New Roman" w:eastAsia="方正仿宋_GBK" w:cs="方正仿宋_GBK"/>
          <w:sz w:val="32"/>
          <w:szCs w:val="32"/>
          <w:shd w:val="clear" w:color="auto" w:fill="FFFFFF"/>
        </w:rPr>
        <w:t>，</w:t>
      </w:r>
      <w:r>
        <w:rPr>
          <w:rFonts w:hint="default" w:ascii="Times New Roman" w:hAnsi="Times New Roman" w:eastAsia="方正仿宋_GBK"/>
          <w:sz w:val="32"/>
          <w:szCs w:val="32"/>
          <w:shd w:val="clear" w:color="auto" w:fill="FFFFFF"/>
        </w:rPr>
        <w:t>较年初预算数无增减</w:t>
      </w:r>
      <w:r>
        <w:rPr>
          <w:rFonts w:ascii="Times New Roman" w:hAnsi="Times New Roman" w:eastAsia="方正仿宋_GBK" w:cs="方正仿宋_GBK"/>
          <w:sz w:val="32"/>
          <w:szCs w:val="32"/>
          <w:shd w:val="clear" w:color="auto" w:fill="FFFFFF"/>
        </w:rPr>
        <w:t>，主要原因是</w:t>
      </w:r>
      <w:r>
        <w:rPr>
          <w:rFonts w:hint="eastAsia" w:ascii="Times New Roman" w:hAnsi="Times New Roman" w:eastAsia="方正仿宋_GBK" w:cs="方正仿宋_GBK"/>
          <w:sz w:val="32"/>
          <w:szCs w:val="32"/>
          <w:shd w:val="clear" w:color="auto" w:fill="FFFFFF"/>
          <w:lang w:eastAsia="zh-CN"/>
        </w:rPr>
        <w:t>按规定发放职工养老保险及职业年金支出。</w:t>
      </w:r>
    </w:p>
    <w:p>
      <w:pPr>
        <w:pStyle w:val="10"/>
        <w:keepNext w:val="0"/>
        <w:keepLines w:val="0"/>
        <w:pageBreakBefore w:val="0"/>
        <w:widowControl w:val="0"/>
        <w:kinsoku/>
        <w:wordWrap/>
        <w:overflowPunct/>
        <w:topLinePunct w:val="0"/>
        <w:autoSpaceDN/>
        <w:bidi w:val="0"/>
        <w:adjustRightInd/>
        <w:snapToGrid w:val="0"/>
        <w:spacing w:before="0" w:beforeAutospacing="0" w:after="0" w:afterAutospacing="0" w:line="600" w:lineRule="exact"/>
        <w:ind w:firstLine="640" w:firstLineChars="200"/>
        <w:jc w:val="both"/>
        <w:textAlignment w:val="auto"/>
        <w:rPr>
          <w:rFonts w:hint="default" w:ascii="Times New Roman" w:hAnsi="Times New Roman" w:eastAsia="方正仿宋_GBK" w:cs="方正仿宋_GBK"/>
          <w:sz w:val="32"/>
          <w:szCs w:val="32"/>
        </w:rPr>
      </w:pPr>
      <w:r>
        <w:rPr>
          <w:rFonts w:ascii="Times New Roman" w:hAnsi="Times New Roman" w:eastAsia="方正仿宋_GBK" w:cs="方正仿宋_GBK"/>
          <w:sz w:val="32"/>
          <w:szCs w:val="32"/>
          <w:shd w:val="clear" w:color="auto" w:fill="FFFFFF"/>
        </w:rPr>
        <w:t>（</w:t>
      </w:r>
      <w:r>
        <w:rPr>
          <w:rFonts w:hint="eastAsia" w:ascii="Times New Roman" w:hAnsi="Times New Roman" w:eastAsia="方正仿宋_GBK"/>
          <w:sz w:val="32"/>
          <w:szCs w:val="32"/>
          <w:shd w:val="clear" w:color="auto" w:fill="FFFFFF"/>
          <w:lang w:val="en-US" w:eastAsia="zh-CN"/>
        </w:rPr>
        <w:t>2</w:t>
      </w:r>
      <w:r>
        <w:rPr>
          <w:rFonts w:ascii="Times New Roman" w:hAnsi="Times New Roman" w:eastAsia="方正仿宋_GBK" w:cs="方正仿宋_GBK"/>
          <w:sz w:val="32"/>
          <w:szCs w:val="32"/>
          <w:shd w:val="clear" w:color="auto" w:fill="FFFFFF"/>
        </w:rPr>
        <w:t>）卫生健康支出</w:t>
      </w:r>
      <w:r>
        <w:rPr>
          <w:rFonts w:hint="default" w:ascii="Times New Roman" w:hAnsi="Times New Roman" w:eastAsia="方正仿宋_GBK"/>
          <w:sz w:val="32"/>
          <w:szCs w:val="32"/>
          <w:shd w:val="clear" w:color="auto" w:fill="FFFFFF"/>
        </w:rPr>
        <w:t>6.97</w:t>
      </w:r>
      <w:r>
        <w:rPr>
          <w:rFonts w:ascii="Times New Roman" w:hAnsi="Times New Roman" w:eastAsia="方正仿宋_GBK" w:cs="方正仿宋_GBK"/>
          <w:sz w:val="32"/>
          <w:szCs w:val="32"/>
          <w:shd w:val="clear" w:color="auto" w:fill="FFFFFF"/>
        </w:rPr>
        <w:t>万元，占</w:t>
      </w:r>
      <w:r>
        <w:rPr>
          <w:rFonts w:hint="default" w:ascii="Times New Roman" w:hAnsi="Times New Roman" w:eastAsia="方正仿宋_GBK"/>
          <w:sz w:val="32"/>
          <w:szCs w:val="32"/>
          <w:shd w:val="clear" w:color="auto" w:fill="FFFFFF"/>
        </w:rPr>
        <w:t>5.1%</w:t>
      </w:r>
      <w:r>
        <w:rPr>
          <w:rFonts w:ascii="Times New Roman" w:hAnsi="Times New Roman" w:eastAsia="方正仿宋_GBK" w:cs="方正仿宋_GBK"/>
          <w:sz w:val="32"/>
          <w:szCs w:val="32"/>
          <w:shd w:val="clear" w:color="auto" w:fill="FFFFFF"/>
        </w:rPr>
        <w:t>，</w:t>
      </w:r>
      <w:r>
        <w:rPr>
          <w:rFonts w:hint="default" w:ascii="Times New Roman" w:hAnsi="Times New Roman" w:eastAsia="方正仿宋_GBK"/>
          <w:sz w:val="32"/>
          <w:szCs w:val="32"/>
          <w:shd w:val="clear" w:color="auto" w:fill="FFFFFF"/>
        </w:rPr>
        <w:t>较年初预算数无增减</w:t>
      </w:r>
      <w:r>
        <w:rPr>
          <w:rFonts w:ascii="Times New Roman" w:hAnsi="Times New Roman" w:eastAsia="方正仿宋_GBK" w:cs="方正仿宋_GBK"/>
          <w:sz w:val="32"/>
          <w:szCs w:val="32"/>
          <w:shd w:val="clear" w:color="auto" w:fill="FFFFFF"/>
        </w:rPr>
        <w:t>，主要原因是</w:t>
      </w:r>
      <w:r>
        <w:rPr>
          <w:rFonts w:hint="eastAsia" w:ascii="Times New Roman" w:hAnsi="Times New Roman" w:eastAsia="方正仿宋_GBK" w:cs="方正仿宋_GBK"/>
          <w:sz w:val="32"/>
          <w:szCs w:val="32"/>
          <w:shd w:val="clear" w:color="auto" w:fill="FFFFFF"/>
          <w:lang w:eastAsia="zh-CN"/>
        </w:rPr>
        <w:t>按规定发放职工基本医疗保险缴费支出。</w:t>
      </w:r>
    </w:p>
    <w:p>
      <w:pPr>
        <w:pStyle w:val="10"/>
        <w:keepNext w:val="0"/>
        <w:keepLines w:val="0"/>
        <w:pageBreakBefore w:val="0"/>
        <w:widowControl w:val="0"/>
        <w:kinsoku/>
        <w:wordWrap/>
        <w:overflowPunct/>
        <w:topLinePunct w:val="0"/>
        <w:autoSpaceDN/>
        <w:bidi w:val="0"/>
        <w:adjustRightInd/>
        <w:snapToGrid w:val="0"/>
        <w:spacing w:before="0" w:beforeAutospacing="0" w:after="0" w:afterAutospacing="0" w:line="600" w:lineRule="exact"/>
        <w:ind w:firstLine="640" w:firstLineChars="200"/>
        <w:jc w:val="both"/>
        <w:textAlignment w:val="auto"/>
        <w:rPr>
          <w:rFonts w:hint="eastAsia" w:ascii="Times New Roman" w:hAnsi="Times New Roman" w:eastAsia="方正仿宋_GBK"/>
          <w:sz w:val="32"/>
          <w:szCs w:val="32"/>
          <w:shd w:val="clear" w:color="auto" w:fill="FFFFFF"/>
          <w:lang w:eastAsia="zh-CN"/>
        </w:rPr>
      </w:pPr>
      <w:r>
        <w:rPr>
          <w:rFonts w:ascii="Times New Roman" w:hAnsi="Times New Roman" w:eastAsia="方正仿宋_GBK" w:cs="方正仿宋_GBK"/>
          <w:sz w:val="32"/>
          <w:szCs w:val="32"/>
          <w:shd w:val="clear" w:color="auto" w:fill="FFFFFF"/>
        </w:rPr>
        <w:t>（</w:t>
      </w:r>
      <w:r>
        <w:rPr>
          <w:rFonts w:hint="eastAsia" w:ascii="Times New Roman" w:hAnsi="Times New Roman" w:eastAsia="方正仿宋_GBK"/>
          <w:sz w:val="32"/>
          <w:szCs w:val="32"/>
          <w:shd w:val="clear" w:color="auto" w:fill="FFFFFF"/>
          <w:lang w:val="en-US" w:eastAsia="zh-CN"/>
        </w:rPr>
        <w:t>3</w:t>
      </w:r>
      <w:r>
        <w:rPr>
          <w:rFonts w:ascii="Times New Roman" w:hAnsi="Times New Roman" w:eastAsia="方正仿宋_GBK" w:cs="方正仿宋_GBK"/>
          <w:sz w:val="32"/>
          <w:szCs w:val="32"/>
          <w:shd w:val="clear" w:color="auto" w:fill="FFFFFF"/>
        </w:rPr>
        <w:t>）城乡社区支出</w:t>
      </w:r>
      <w:r>
        <w:rPr>
          <w:rFonts w:hint="default" w:ascii="Times New Roman" w:hAnsi="Times New Roman" w:eastAsia="方正仿宋_GBK"/>
          <w:sz w:val="32"/>
          <w:szCs w:val="32"/>
          <w:shd w:val="clear" w:color="auto" w:fill="FFFFFF"/>
        </w:rPr>
        <w:t>108.99</w:t>
      </w:r>
      <w:r>
        <w:rPr>
          <w:rFonts w:ascii="Times New Roman" w:hAnsi="Times New Roman" w:eastAsia="方正仿宋_GBK" w:cs="方正仿宋_GBK"/>
          <w:sz w:val="32"/>
          <w:szCs w:val="32"/>
          <w:shd w:val="clear" w:color="auto" w:fill="FFFFFF"/>
        </w:rPr>
        <w:t>万元</w:t>
      </w:r>
      <w:r>
        <w:rPr>
          <w:rFonts w:hint="default" w:ascii="Times New Roman" w:hAnsi="Times New Roman" w:eastAsia="方正仿宋_GBK"/>
          <w:sz w:val="32"/>
          <w:szCs w:val="32"/>
          <w:shd w:val="clear" w:color="auto" w:fill="FFFFFF"/>
        </w:rPr>
        <w:t>，占79.8%，较年初预算数增加108.99万元，增长100.0%，主要原因是</w:t>
      </w:r>
      <w:r>
        <w:rPr>
          <w:rFonts w:hint="eastAsia" w:ascii="Times New Roman" w:hAnsi="Times New Roman" w:eastAsia="方正仿宋_GBK"/>
          <w:sz w:val="32"/>
          <w:szCs w:val="32"/>
          <w:shd w:val="clear" w:color="auto" w:fill="FFFFFF"/>
          <w:lang w:eastAsia="zh-CN"/>
        </w:rPr>
        <w:t>账务调整。</w:t>
      </w:r>
    </w:p>
    <w:p>
      <w:pPr>
        <w:keepNext w:val="0"/>
        <w:keepLines w:val="0"/>
        <w:pageBreakBefore w:val="0"/>
        <w:widowControl w:val="0"/>
        <w:kinsoku/>
        <w:wordWrap/>
        <w:overflowPunct/>
        <w:topLinePunct w:val="0"/>
        <w:autoSpaceDN/>
        <w:bidi w:val="0"/>
        <w:adjustRightInd/>
        <w:spacing w:beforeAutospacing="0" w:afterAutospacing="0" w:line="600" w:lineRule="exact"/>
        <w:ind w:firstLine="640" w:firstLineChars="200"/>
        <w:jc w:val="both"/>
        <w:textAlignment w:val="auto"/>
        <w:rPr>
          <w:rFonts w:hint="default" w:ascii="Times New Roman" w:hAnsi="Times New Roman" w:eastAsia="方正仿宋_GBK" w:cs="方正仿宋_GBK"/>
          <w:color w:val="FF0000"/>
          <w:sz w:val="32"/>
          <w:szCs w:val="32"/>
          <w:shd w:val="clear" w:color="auto" w:fill="FFFFFF"/>
        </w:rPr>
      </w:pPr>
      <w:r>
        <w:rPr>
          <w:rFonts w:ascii="Times New Roman" w:hAnsi="Times New Roman" w:eastAsia="方正仿宋_GBK" w:cs="方正仿宋_GBK"/>
          <w:sz w:val="32"/>
          <w:szCs w:val="32"/>
          <w:shd w:val="clear" w:color="auto" w:fill="FFFFFF"/>
        </w:rPr>
        <w:t>（</w:t>
      </w:r>
      <w:r>
        <w:rPr>
          <w:rFonts w:hint="default" w:ascii="Times New Roman" w:hAnsi="Times New Roman" w:eastAsia="方正仿宋_GBK"/>
          <w:sz w:val="32"/>
          <w:szCs w:val="32"/>
          <w:shd w:val="clear" w:color="auto" w:fill="FFFFFF"/>
        </w:rPr>
        <w:t>19</w:t>
      </w:r>
      <w:r>
        <w:rPr>
          <w:rFonts w:ascii="Times New Roman" w:hAnsi="Times New Roman" w:eastAsia="方正仿宋_GBK" w:cs="方正仿宋_GBK"/>
          <w:sz w:val="32"/>
          <w:szCs w:val="32"/>
          <w:shd w:val="clear" w:color="auto" w:fill="FFFFFF"/>
        </w:rPr>
        <w:t>）</w:t>
      </w:r>
      <w:r>
        <w:rPr>
          <w:rFonts w:ascii="Times New Roman" w:hAnsi="Times New Roman" w:eastAsia="方正仿宋_GBK" w:cs="方正仿宋_GBK"/>
          <w:sz w:val="32"/>
          <w:szCs w:val="32"/>
        </w:rPr>
        <w:t>住房保障支出</w:t>
      </w:r>
      <w:r>
        <w:rPr>
          <w:rFonts w:hint="default" w:ascii="Times New Roman" w:hAnsi="Times New Roman" w:eastAsia="方正仿宋_GBK"/>
          <w:sz w:val="32"/>
          <w:szCs w:val="32"/>
          <w:shd w:val="clear" w:color="auto" w:fill="FFFFFF"/>
        </w:rPr>
        <w:t>6.83</w:t>
      </w:r>
      <w:r>
        <w:rPr>
          <w:rFonts w:ascii="Times New Roman" w:hAnsi="Times New Roman" w:eastAsia="方正仿宋_GBK" w:cs="方正仿宋_GBK"/>
          <w:sz w:val="32"/>
          <w:szCs w:val="32"/>
          <w:shd w:val="clear" w:color="auto" w:fill="FFFFFF"/>
        </w:rPr>
        <w:t>万元，占</w:t>
      </w:r>
      <w:r>
        <w:rPr>
          <w:rFonts w:hint="default" w:ascii="Times New Roman" w:hAnsi="Times New Roman" w:eastAsia="方正仿宋_GBK"/>
          <w:sz w:val="32"/>
          <w:szCs w:val="32"/>
          <w:shd w:val="clear" w:color="auto" w:fill="FFFFFF"/>
        </w:rPr>
        <w:t>5.0%</w:t>
      </w:r>
      <w:r>
        <w:rPr>
          <w:rFonts w:ascii="Times New Roman" w:hAnsi="Times New Roman" w:eastAsia="方正仿宋_GBK" w:cs="方正仿宋_GBK"/>
          <w:sz w:val="32"/>
          <w:szCs w:val="32"/>
          <w:shd w:val="clear" w:color="auto" w:fill="FFFFFF"/>
        </w:rPr>
        <w:t>，</w:t>
      </w:r>
      <w:r>
        <w:rPr>
          <w:rFonts w:hint="default" w:ascii="Times New Roman" w:hAnsi="Times New Roman" w:eastAsia="方正仿宋_GBK"/>
          <w:sz w:val="32"/>
          <w:szCs w:val="32"/>
          <w:shd w:val="clear" w:color="auto" w:fill="FFFFFF"/>
        </w:rPr>
        <w:t>较年初预算数无增减</w:t>
      </w:r>
      <w:r>
        <w:rPr>
          <w:rFonts w:ascii="Times New Roman" w:hAnsi="Times New Roman" w:eastAsia="方正仿宋_GBK" w:cs="方正仿宋_GBK"/>
          <w:sz w:val="32"/>
          <w:szCs w:val="32"/>
          <w:shd w:val="clear" w:color="auto" w:fill="FFFFFF"/>
        </w:rPr>
        <w:t>，主要原因是</w:t>
      </w:r>
      <w:r>
        <w:rPr>
          <w:rFonts w:hint="eastAsia" w:ascii="Times New Roman" w:hAnsi="Times New Roman" w:eastAsia="方正仿宋_GBK" w:cs="方正仿宋_GBK"/>
          <w:sz w:val="32"/>
          <w:szCs w:val="32"/>
          <w:shd w:val="clear" w:color="auto" w:fill="FFFFFF"/>
          <w:lang w:eastAsia="zh-CN"/>
        </w:rPr>
        <w:t>按规定发放职工住房公积金支出。</w:t>
      </w:r>
    </w:p>
    <w:p>
      <w:pPr>
        <w:pStyle w:val="10"/>
        <w:keepNext w:val="0"/>
        <w:keepLines w:val="0"/>
        <w:pageBreakBefore w:val="0"/>
        <w:widowControl w:val="0"/>
        <w:kinsoku/>
        <w:wordWrap/>
        <w:overflowPunct/>
        <w:topLinePunct w:val="0"/>
        <w:autoSpaceDN/>
        <w:bidi w:val="0"/>
        <w:adjustRightInd/>
        <w:snapToGrid w:val="0"/>
        <w:spacing w:before="0" w:beforeAutospacing="0" w:after="0" w:afterAutospacing="0" w:line="600" w:lineRule="exact"/>
        <w:ind w:firstLine="642" w:firstLineChars="200"/>
        <w:jc w:val="both"/>
        <w:textAlignment w:val="auto"/>
        <w:rPr>
          <w:rFonts w:hint="eastAsia" w:ascii="Times New Roman" w:hAnsi="Times New Roman" w:eastAsia="方正仿宋_GBK" w:cs="方正仿宋_GBK"/>
          <w:color w:val="FF0000"/>
          <w:sz w:val="32"/>
          <w:szCs w:val="32"/>
          <w:shd w:val="clear" w:color="auto" w:fill="FFFFFF"/>
          <w:lang w:eastAsia="zh-CN"/>
        </w:rPr>
      </w:pPr>
      <w:r>
        <w:rPr>
          <w:rStyle w:val="14"/>
          <w:rFonts w:hint="default" w:ascii="Times New Roman" w:hAnsi="Times New Roman" w:eastAsia="方正仿宋_GBK"/>
          <w:sz w:val="32"/>
          <w:szCs w:val="32"/>
          <w:shd w:val="clear" w:color="auto" w:fill="FFFFFF"/>
        </w:rPr>
        <w:t>3</w:t>
      </w:r>
      <w:r>
        <w:rPr>
          <w:rStyle w:val="14"/>
          <w:rFonts w:ascii="Times New Roman" w:hAnsi="Times New Roman" w:eastAsia="方正仿宋_GBK" w:cs="方正仿宋_GBK"/>
          <w:sz w:val="32"/>
          <w:szCs w:val="32"/>
          <w:shd w:val="clear" w:color="auto" w:fill="FFFFFF"/>
        </w:rPr>
        <w:t>.结转结余情况。</w:t>
      </w:r>
      <w:r>
        <w:rPr>
          <w:rFonts w:hint="default" w:ascii="Times New Roman" w:hAnsi="Times New Roman" w:eastAsia="方正仿宋_GBK"/>
          <w:sz w:val="32"/>
          <w:szCs w:val="32"/>
          <w:shd w:val="clear" w:color="auto" w:fill="FFFFFF"/>
        </w:rPr>
        <w:t>2024</w:t>
      </w:r>
      <w:r>
        <w:rPr>
          <w:rFonts w:ascii="Times New Roman" w:hAnsi="Times New Roman" w:eastAsia="方正仿宋_GBK" w:cs="方正仿宋_GBK"/>
          <w:sz w:val="32"/>
          <w:szCs w:val="32"/>
          <w:shd w:val="clear" w:color="auto" w:fill="FFFFFF"/>
        </w:rPr>
        <w:t>年度年末一般公共预算财政拨款结转和结余</w:t>
      </w:r>
      <w:r>
        <w:rPr>
          <w:rFonts w:hint="eastAsia" w:ascii="Times New Roman" w:hAnsi="Times New Roman" w:eastAsia="方正仿宋_GBK"/>
          <w:sz w:val="32"/>
          <w:szCs w:val="32"/>
          <w:shd w:val="clear" w:color="auto" w:fill="FFFFFF"/>
          <w:lang w:eastAsia="zh-CN"/>
        </w:rPr>
        <w:t>0万元</w:t>
      </w:r>
      <w:r>
        <w:rPr>
          <w:rFonts w:ascii="Times New Roman" w:hAnsi="Times New Roman" w:eastAsia="方正仿宋_GBK" w:cs="方正仿宋_GBK"/>
          <w:sz w:val="32"/>
          <w:szCs w:val="32"/>
          <w:shd w:val="clear" w:color="auto" w:fill="FFFFFF"/>
        </w:rPr>
        <w:t>，</w:t>
      </w:r>
      <w:r>
        <w:rPr>
          <w:rFonts w:hint="default" w:ascii="Times New Roman" w:hAnsi="Times New Roman" w:eastAsia="方正仿宋_GBK"/>
          <w:sz w:val="32"/>
          <w:szCs w:val="32"/>
          <w:shd w:val="clear" w:color="auto" w:fill="FFFFFF"/>
        </w:rPr>
        <w:t>与2023年度相比，无增减</w:t>
      </w:r>
      <w:r>
        <w:rPr>
          <w:rFonts w:hint="eastAsia" w:ascii="Times New Roman" w:hAnsi="Times New Roman" w:eastAsia="方正仿宋_GBK" w:cs="方正仿宋_GBK"/>
          <w:sz w:val="32"/>
          <w:szCs w:val="32"/>
          <w:shd w:val="clear" w:color="auto" w:fill="FFFFFF"/>
          <w:lang w:eastAsia="zh-CN"/>
        </w:rPr>
        <w:t>。</w:t>
      </w:r>
    </w:p>
    <w:p>
      <w:pPr>
        <w:pStyle w:val="15"/>
        <w:keepNext w:val="0"/>
        <w:keepLines w:val="0"/>
        <w:pageBreakBefore w:val="0"/>
        <w:widowControl w:val="0"/>
        <w:kinsoku/>
        <w:wordWrap/>
        <w:overflowPunct/>
        <w:topLinePunct w:val="0"/>
        <w:autoSpaceDE w:val="0"/>
        <w:autoSpaceDN/>
        <w:bidi w:val="0"/>
        <w:adjustRightInd/>
        <w:snapToGrid/>
        <w:spacing w:beforeAutospacing="0" w:afterAutospacing="0" w:line="600" w:lineRule="exact"/>
        <w:ind w:firstLine="642" w:firstLineChars="200"/>
        <w:textAlignment w:val="auto"/>
        <w:rPr>
          <w:rFonts w:ascii="Times New Roman" w:hAnsi="Times New Roman" w:eastAsia="方正仿宋_GBK" w:cs="楷体"/>
          <w:b/>
          <w:bCs/>
          <w:sz w:val="32"/>
          <w:szCs w:val="32"/>
          <w:shd w:val="clear" w:color="auto" w:fill="FFFFFF"/>
        </w:rPr>
      </w:pPr>
      <w:r>
        <w:rPr>
          <w:rFonts w:hint="eastAsia" w:ascii="Times New Roman" w:hAnsi="Times New Roman" w:eastAsia="方正仿宋_GBK" w:cs="楷体"/>
          <w:b/>
          <w:bCs/>
          <w:sz w:val="32"/>
          <w:szCs w:val="32"/>
          <w:shd w:val="clear" w:color="auto" w:fill="FFFFFF"/>
        </w:rPr>
        <w:t>（四）一般公共预算财政拨款基本支出决算情况说明</w:t>
      </w:r>
    </w:p>
    <w:p>
      <w:pPr>
        <w:pStyle w:val="10"/>
        <w:keepNext w:val="0"/>
        <w:keepLines w:val="0"/>
        <w:pageBreakBefore w:val="0"/>
        <w:widowControl w:val="0"/>
        <w:kinsoku/>
        <w:wordWrap/>
        <w:overflowPunct/>
        <w:topLinePunct w:val="0"/>
        <w:autoSpaceDN/>
        <w:bidi w:val="0"/>
        <w:adjustRightInd/>
        <w:snapToGrid w:val="0"/>
        <w:spacing w:before="0" w:beforeAutospacing="0" w:after="0" w:afterAutospacing="0" w:line="600" w:lineRule="exact"/>
        <w:ind w:firstLine="640" w:firstLineChars="200"/>
        <w:jc w:val="both"/>
        <w:textAlignment w:val="auto"/>
        <w:rPr>
          <w:rFonts w:ascii="Times New Roman" w:hAnsi="Times New Roman" w:eastAsia="方正仿宋_GBK" w:cs="方正仿宋_GBK"/>
          <w:sz w:val="32"/>
          <w:szCs w:val="32"/>
          <w:shd w:val="clear" w:color="auto" w:fill="FFFFFF"/>
        </w:rPr>
      </w:pPr>
      <w:r>
        <w:rPr>
          <w:rFonts w:hint="default" w:ascii="Times New Roman" w:hAnsi="Times New Roman" w:eastAsia="方正仿宋_GBK"/>
          <w:sz w:val="32"/>
          <w:szCs w:val="32"/>
          <w:shd w:val="clear" w:color="auto" w:fill="FFFFFF"/>
        </w:rPr>
        <w:t>2024</w:t>
      </w:r>
      <w:r>
        <w:rPr>
          <w:rFonts w:ascii="Times New Roman" w:hAnsi="Times New Roman" w:eastAsia="方正仿宋_GBK" w:cs="方正仿宋_GBK"/>
          <w:sz w:val="32"/>
          <w:szCs w:val="32"/>
          <w:shd w:val="clear" w:color="auto" w:fill="FFFFFF"/>
        </w:rPr>
        <w:t>年度一般公共财政拨款基本支出</w:t>
      </w:r>
      <w:r>
        <w:rPr>
          <w:rFonts w:hint="default" w:ascii="Times New Roman" w:hAnsi="Times New Roman" w:eastAsia="方正仿宋_GBK"/>
          <w:sz w:val="32"/>
          <w:szCs w:val="32"/>
          <w:shd w:val="clear" w:color="auto" w:fill="FFFFFF"/>
        </w:rPr>
        <w:t>136.61</w:t>
      </w:r>
      <w:r>
        <w:rPr>
          <w:rFonts w:ascii="Times New Roman" w:hAnsi="Times New Roman" w:eastAsia="方正仿宋_GBK" w:cs="方正仿宋_GBK"/>
          <w:sz w:val="32"/>
          <w:szCs w:val="32"/>
          <w:shd w:val="clear" w:color="auto" w:fill="FFFFFF"/>
        </w:rPr>
        <w:t>万元。</w:t>
      </w:r>
    </w:p>
    <w:p>
      <w:pPr>
        <w:pStyle w:val="10"/>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firstLine="0" w:firstLineChars="0"/>
        <w:jc w:val="both"/>
        <w:textAlignment w:val="auto"/>
        <w:rPr>
          <w:rFonts w:ascii="Times New Roman" w:hAnsi="Times New Roman" w:eastAsia="方正仿宋_GBK" w:cs="方正仿宋_GBK"/>
          <w:sz w:val="32"/>
          <w:szCs w:val="32"/>
          <w:shd w:val="clear" w:color="auto" w:fill="FFFFFF"/>
        </w:rPr>
      </w:pPr>
      <w:r>
        <w:rPr>
          <w:rFonts w:ascii="Times New Roman" w:hAnsi="Times New Roman" w:eastAsia="方正仿宋_GBK" w:cs="方正仿宋_GBK"/>
          <w:sz w:val="32"/>
          <w:szCs w:val="32"/>
          <w:shd w:val="clear" w:color="auto" w:fill="FFFFFF"/>
        </w:rPr>
        <w:t>其中：</w:t>
      </w:r>
    </w:p>
    <w:p>
      <w:pPr>
        <w:pStyle w:val="10"/>
        <w:keepNext w:val="0"/>
        <w:keepLines w:val="0"/>
        <w:pageBreakBefore w:val="0"/>
        <w:widowControl w:val="0"/>
        <w:shd w:val="clear" w:color="auto" w:fill="FFFFFF"/>
        <w:kinsoku/>
        <w:wordWrap/>
        <w:overflowPunct/>
        <w:topLinePunct w:val="0"/>
        <w:autoSpaceDN/>
        <w:bidi w:val="0"/>
        <w:adjustRightInd/>
        <w:spacing w:before="0" w:beforeAutospacing="0" w:after="0" w:afterAutospacing="0" w:line="600" w:lineRule="exact"/>
        <w:ind w:firstLine="640" w:firstLineChars="200"/>
        <w:jc w:val="both"/>
        <w:textAlignment w:val="auto"/>
        <w:rPr>
          <w:rFonts w:hint="eastAsia" w:ascii="Times New Roman" w:hAnsi="Times New Roman" w:eastAsia="方正仿宋_GBK" w:cs="方正仿宋_GBK"/>
          <w:color w:val="FF0000"/>
          <w:sz w:val="32"/>
          <w:szCs w:val="32"/>
          <w:shd w:val="clear" w:color="auto" w:fill="FFFFFF"/>
          <w:lang w:val="en-US" w:eastAsia="zh-CN"/>
        </w:rPr>
      </w:pPr>
      <w:r>
        <w:rPr>
          <w:rFonts w:ascii="Times New Roman" w:hAnsi="Times New Roman" w:eastAsia="方正仿宋_GBK" w:cs="方正仿宋_GBK"/>
          <w:sz w:val="32"/>
          <w:szCs w:val="32"/>
          <w:shd w:val="clear" w:color="auto" w:fill="FFFFFF"/>
        </w:rPr>
        <w:t>人员经费</w:t>
      </w:r>
      <w:r>
        <w:rPr>
          <w:rFonts w:hint="default" w:ascii="Times New Roman" w:hAnsi="Times New Roman" w:eastAsia="方正仿宋_GBK"/>
          <w:sz w:val="32"/>
          <w:szCs w:val="32"/>
          <w:shd w:val="clear" w:color="auto" w:fill="FFFFFF"/>
        </w:rPr>
        <w:t>129.87</w:t>
      </w:r>
      <w:r>
        <w:rPr>
          <w:rFonts w:ascii="Times New Roman" w:hAnsi="Times New Roman" w:eastAsia="方正仿宋_GBK" w:cs="方正仿宋_GBK"/>
          <w:sz w:val="32"/>
          <w:szCs w:val="32"/>
          <w:shd w:val="clear" w:color="auto" w:fill="FFFFFF"/>
        </w:rPr>
        <w:t>万元，</w:t>
      </w:r>
      <w:r>
        <w:rPr>
          <w:rFonts w:hint="default" w:ascii="Times New Roman" w:hAnsi="Times New Roman" w:eastAsia="方正仿宋_GBK"/>
          <w:sz w:val="32"/>
          <w:szCs w:val="32"/>
          <w:shd w:val="clear" w:color="auto" w:fill="FFFFFF"/>
        </w:rPr>
        <w:t>与2023年度相比，增加17.24万元，增长15.3%</w:t>
      </w:r>
      <w:r>
        <w:rPr>
          <w:rFonts w:ascii="Times New Roman" w:hAnsi="Times New Roman" w:eastAsia="方正仿宋_GBK" w:cs="方正仿宋_GBK"/>
          <w:sz w:val="32"/>
          <w:szCs w:val="32"/>
          <w:shd w:val="clear" w:color="auto" w:fill="FFFFFF"/>
        </w:rPr>
        <w:t>，主要原因是</w:t>
      </w:r>
      <w:r>
        <w:rPr>
          <w:rFonts w:hint="eastAsia" w:ascii="Times New Roman" w:hAnsi="Times New Roman" w:eastAsia="方正仿宋_GBK" w:cs="方正仿宋_GBK"/>
          <w:sz w:val="32"/>
          <w:szCs w:val="32"/>
          <w:shd w:val="clear" w:color="auto" w:fill="FFFFFF"/>
          <w:lang w:eastAsia="zh-CN"/>
        </w:rPr>
        <w:t>新进人员及职工薪资调整。</w:t>
      </w:r>
    </w:p>
    <w:p>
      <w:pPr>
        <w:pStyle w:val="10"/>
        <w:keepNext w:val="0"/>
        <w:keepLines w:val="0"/>
        <w:pageBreakBefore w:val="0"/>
        <w:widowControl w:val="0"/>
        <w:shd w:val="clear" w:color="auto" w:fill="FFFFFF"/>
        <w:kinsoku/>
        <w:wordWrap/>
        <w:overflowPunct/>
        <w:topLinePunct w:val="0"/>
        <w:autoSpaceDN/>
        <w:bidi w:val="0"/>
        <w:adjustRightInd/>
        <w:spacing w:before="0" w:beforeAutospacing="0" w:after="0" w:afterAutospacing="0" w:line="600" w:lineRule="exact"/>
        <w:ind w:firstLine="640" w:firstLineChars="200"/>
        <w:jc w:val="both"/>
        <w:textAlignment w:val="auto"/>
        <w:rPr>
          <w:rFonts w:hint="default" w:ascii="Times New Roman" w:hAnsi="Times New Roman" w:eastAsia="方正仿宋_GBK" w:cs="方正仿宋_GBK"/>
          <w:sz w:val="32"/>
          <w:szCs w:val="32"/>
        </w:rPr>
      </w:pPr>
      <w:r>
        <w:rPr>
          <w:rFonts w:ascii="Times New Roman" w:hAnsi="Times New Roman" w:eastAsia="方正仿宋_GBK" w:cs="方正仿宋_GBK"/>
          <w:sz w:val="32"/>
          <w:szCs w:val="32"/>
          <w:shd w:val="clear" w:color="auto" w:fill="FFFFFF"/>
        </w:rPr>
        <w:t>人员经费用途主要包括</w:t>
      </w:r>
      <w:r>
        <w:rPr>
          <w:rFonts w:hint="eastAsia" w:ascii="Times New Roman" w:hAnsi="Times New Roman" w:eastAsia="方正仿宋_GBK" w:cs="方正仿宋_GBK"/>
          <w:sz w:val="32"/>
          <w:szCs w:val="32"/>
          <w:shd w:val="clear" w:color="auto" w:fill="FFFFFF"/>
          <w:lang w:val="en-US" w:eastAsia="zh-CN"/>
        </w:rPr>
        <w:t>在职事业人员工资、绩效、社保等福利待遇支出。</w:t>
      </w:r>
      <w:r>
        <w:rPr>
          <w:rFonts w:ascii="Times New Roman" w:hAnsi="Times New Roman" w:eastAsia="方正仿宋_GBK" w:cs="方正仿宋_GBK"/>
          <w:sz w:val="32"/>
          <w:szCs w:val="32"/>
          <w:shd w:val="clear" w:color="auto" w:fill="FFFFFF"/>
        </w:rPr>
        <w:t>公用经费</w:t>
      </w:r>
      <w:r>
        <w:rPr>
          <w:rFonts w:hint="default" w:ascii="Times New Roman" w:hAnsi="Times New Roman" w:eastAsia="方正仿宋_GBK"/>
          <w:sz w:val="32"/>
          <w:szCs w:val="32"/>
          <w:shd w:val="clear" w:color="auto" w:fill="FFFFFF"/>
        </w:rPr>
        <w:t>6.73</w:t>
      </w:r>
      <w:r>
        <w:rPr>
          <w:rFonts w:ascii="Times New Roman" w:hAnsi="Times New Roman" w:eastAsia="方正仿宋_GBK" w:cs="方正仿宋_GBK"/>
          <w:sz w:val="32"/>
          <w:szCs w:val="32"/>
          <w:shd w:val="clear" w:color="auto" w:fill="FFFFFF"/>
        </w:rPr>
        <w:t>万元，</w:t>
      </w:r>
      <w:r>
        <w:rPr>
          <w:rFonts w:hint="default" w:ascii="Times New Roman" w:hAnsi="Times New Roman" w:eastAsia="方正仿宋_GBK"/>
          <w:sz w:val="32"/>
          <w:szCs w:val="32"/>
          <w:shd w:val="clear" w:color="auto" w:fill="FFFFFF"/>
        </w:rPr>
        <w:t>与2023年度相比，增加2.31万元，增长52.3%</w:t>
      </w:r>
      <w:r>
        <w:rPr>
          <w:rFonts w:ascii="Times New Roman" w:hAnsi="Times New Roman" w:eastAsia="方正仿宋_GBK" w:cs="方正仿宋_GBK"/>
          <w:sz w:val="32"/>
          <w:szCs w:val="32"/>
          <w:shd w:val="clear" w:color="auto" w:fill="FFFFFF"/>
        </w:rPr>
        <w:t>，主要原因是</w:t>
      </w:r>
      <w:r>
        <w:rPr>
          <w:rFonts w:hint="eastAsia" w:ascii="Times New Roman" w:hAnsi="Times New Roman" w:eastAsia="方正仿宋_GBK" w:cs="方正仿宋_GBK"/>
          <w:sz w:val="32"/>
          <w:szCs w:val="32"/>
          <w:shd w:val="clear" w:color="auto" w:fill="FFFFFF"/>
          <w:lang w:eastAsia="zh-CN"/>
        </w:rPr>
        <w:t>新进人员及职工薪资调整。公用经费用途主要包括</w:t>
      </w:r>
      <w:r>
        <w:rPr>
          <w:rFonts w:hint="eastAsia" w:ascii="Times New Roman" w:hAnsi="Times New Roman" w:eastAsia="方正仿宋_GBK" w:cs="方正仿宋_GBK"/>
          <w:sz w:val="32"/>
          <w:szCs w:val="32"/>
          <w:shd w:val="clear" w:color="auto" w:fill="FFFFFF"/>
          <w:lang w:val="en-US" w:eastAsia="zh-CN"/>
        </w:rPr>
        <w:t>日常办公经费、差旅费、水费、电费、邮电费、劳务费等正常运行支出。</w:t>
      </w:r>
    </w:p>
    <w:p>
      <w:pPr>
        <w:pStyle w:val="15"/>
        <w:keepNext w:val="0"/>
        <w:keepLines w:val="0"/>
        <w:pageBreakBefore w:val="0"/>
        <w:widowControl w:val="0"/>
        <w:kinsoku/>
        <w:wordWrap/>
        <w:overflowPunct/>
        <w:topLinePunct w:val="0"/>
        <w:autoSpaceDE w:val="0"/>
        <w:autoSpaceDN/>
        <w:bidi w:val="0"/>
        <w:adjustRightInd/>
        <w:snapToGrid/>
        <w:spacing w:beforeAutospacing="0" w:afterAutospacing="0" w:line="600" w:lineRule="exact"/>
        <w:ind w:firstLine="642" w:firstLineChars="200"/>
        <w:textAlignment w:val="auto"/>
        <w:rPr>
          <w:rFonts w:ascii="Times New Roman" w:hAnsi="Times New Roman" w:eastAsia="方正仿宋_GBK" w:cs="楷体"/>
          <w:b/>
          <w:bCs/>
          <w:sz w:val="32"/>
          <w:szCs w:val="32"/>
          <w:shd w:val="clear" w:color="auto" w:fill="FFFFFF"/>
        </w:rPr>
      </w:pPr>
      <w:r>
        <w:rPr>
          <w:rFonts w:hint="eastAsia" w:ascii="Times New Roman" w:hAnsi="Times New Roman" w:eastAsia="方正仿宋_GBK" w:cs="楷体"/>
          <w:b/>
          <w:bCs/>
          <w:sz w:val="32"/>
          <w:szCs w:val="32"/>
          <w:shd w:val="clear" w:color="auto" w:fill="FFFFFF"/>
        </w:rPr>
        <w:t>（五）政府性基金预算收支决算情况说明</w:t>
      </w:r>
    </w:p>
    <w:p>
      <w:pPr>
        <w:pStyle w:val="10"/>
        <w:keepNext w:val="0"/>
        <w:keepLines w:val="0"/>
        <w:pageBreakBefore w:val="0"/>
        <w:widowControl w:val="0"/>
        <w:shd w:val="clear" w:color="auto" w:fill="FFFFFF"/>
        <w:kinsoku/>
        <w:wordWrap/>
        <w:overflowPunct/>
        <w:topLinePunct w:val="0"/>
        <w:autoSpaceDN/>
        <w:bidi w:val="0"/>
        <w:adjustRightInd/>
        <w:spacing w:before="0" w:beforeAutospacing="0" w:after="0" w:afterAutospacing="0" w:line="600" w:lineRule="exact"/>
        <w:ind w:firstLine="640" w:firstLineChars="200"/>
        <w:jc w:val="both"/>
        <w:textAlignment w:val="auto"/>
        <w:rPr>
          <w:rFonts w:hint="default" w:ascii="Times New Roman" w:hAnsi="Times New Roman" w:eastAsia="方正仿宋_GBK" w:cs="方正仿宋_GBK"/>
          <w:sz w:val="32"/>
          <w:szCs w:val="32"/>
          <w:shd w:val="clear" w:color="auto" w:fill="FFFFFF"/>
          <w:lang w:eastAsia="zh-CN"/>
        </w:rPr>
      </w:pPr>
      <w:r>
        <w:rPr>
          <w:rFonts w:hint="eastAsia" w:ascii="Times New Roman" w:hAnsi="Times New Roman" w:eastAsia="方正仿宋_GBK" w:cs="方正仿宋_GBK"/>
          <w:sz w:val="32"/>
          <w:szCs w:val="32"/>
          <w:shd w:val="clear" w:color="auto" w:fill="FFFFFF"/>
          <w:lang w:eastAsia="zh-CN"/>
        </w:rPr>
        <w:t>本部门</w:t>
      </w:r>
      <w:r>
        <w:rPr>
          <w:rFonts w:hint="default" w:ascii="Times New Roman" w:hAnsi="Times New Roman" w:eastAsia="方正仿宋_GBK" w:cs="方正仿宋_GBK"/>
          <w:sz w:val="32"/>
          <w:szCs w:val="32"/>
          <w:shd w:val="clear" w:color="auto" w:fill="FFFFFF"/>
          <w:lang w:eastAsia="zh-CN"/>
        </w:rPr>
        <w:t>2024</w:t>
      </w:r>
      <w:r>
        <w:rPr>
          <w:rFonts w:hint="eastAsia" w:ascii="Times New Roman" w:hAnsi="Times New Roman" w:eastAsia="方正仿宋_GBK" w:cs="方正仿宋_GBK"/>
          <w:sz w:val="32"/>
          <w:szCs w:val="32"/>
          <w:shd w:val="clear" w:color="auto" w:fill="FFFFFF"/>
          <w:lang w:eastAsia="zh-CN"/>
        </w:rPr>
        <w:t>年度无政府性基金预算财政拨款收支。</w:t>
      </w:r>
    </w:p>
    <w:p>
      <w:pPr>
        <w:pStyle w:val="15"/>
        <w:keepNext w:val="0"/>
        <w:keepLines w:val="0"/>
        <w:pageBreakBefore w:val="0"/>
        <w:widowControl w:val="0"/>
        <w:kinsoku/>
        <w:wordWrap/>
        <w:overflowPunct/>
        <w:topLinePunct w:val="0"/>
        <w:autoSpaceDE w:val="0"/>
        <w:autoSpaceDN/>
        <w:bidi w:val="0"/>
        <w:adjustRightInd/>
        <w:snapToGrid/>
        <w:spacing w:beforeAutospacing="0" w:afterAutospacing="0" w:line="600" w:lineRule="exact"/>
        <w:ind w:firstLine="642" w:firstLineChars="200"/>
        <w:textAlignment w:val="auto"/>
        <w:rPr>
          <w:rFonts w:ascii="Times New Roman" w:hAnsi="Times New Roman" w:eastAsia="方正仿宋_GBK" w:cs="楷体"/>
          <w:b/>
          <w:bCs/>
          <w:sz w:val="32"/>
          <w:szCs w:val="32"/>
          <w:shd w:val="clear" w:color="auto" w:fill="FFFFFF"/>
        </w:rPr>
      </w:pPr>
      <w:r>
        <w:rPr>
          <w:rFonts w:hint="eastAsia" w:ascii="Times New Roman" w:hAnsi="Times New Roman" w:eastAsia="方正仿宋_GBK" w:cs="楷体"/>
          <w:b/>
          <w:bCs/>
          <w:sz w:val="32"/>
          <w:szCs w:val="32"/>
          <w:shd w:val="clear" w:color="auto" w:fill="FFFFFF"/>
        </w:rPr>
        <w:t>（六）国有资本经营预算财政拨款支出决算情况说明</w:t>
      </w:r>
    </w:p>
    <w:p>
      <w:pPr>
        <w:pStyle w:val="10"/>
        <w:keepNext w:val="0"/>
        <w:keepLines w:val="0"/>
        <w:pageBreakBefore w:val="0"/>
        <w:widowControl w:val="0"/>
        <w:shd w:val="clear" w:color="auto" w:fill="FFFFFF"/>
        <w:kinsoku/>
        <w:wordWrap/>
        <w:overflowPunct/>
        <w:topLinePunct w:val="0"/>
        <w:autoSpaceDN/>
        <w:bidi w:val="0"/>
        <w:adjustRightInd/>
        <w:spacing w:before="0" w:beforeAutospacing="0" w:after="0" w:afterAutospacing="0" w:line="600" w:lineRule="exact"/>
        <w:ind w:firstLine="640" w:firstLineChars="200"/>
        <w:jc w:val="both"/>
        <w:textAlignment w:val="auto"/>
        <w:rPr>
          <w:rFonts w:hint="default" w:ascii="Times New Roman" w:hAnsi="Times New Roman" w:eastAsia="方正仿宋_GBK" w:cs="方正仿宋_GBK"/>
          <w:sz w:val="32"/>
          <w:szCs w:val="32"/>
          <w:shd w:val="clear" w:color="auto" w:fill="FFFFFF"/>
          <w:lang w:eastAsia="zh-CN"/>
        </w:rPr>
      </w:pPr>
      <w:r>
        <w:rPr>
          <w:rFonts w:hint="eastAsia" w:ascii="Times New Roman" w:hAnsi="Times New Roman" w:eastAsia="方正仿宋_GBK" w:cs="方正仿宋_GBK"/>
          <w:sz w:val="32"/>
          <w:szCs w:val="32"/>
          <w:shd w:val="clear" w:color="auto" w:fill="FFFFFF"/>
          <w:lang w:eastAsia="zh-CN"/>
        </w:rPr>
        <w:t>本部门</w:t>
      </w:r>
      <w:r>
        <w:rPr>
          <w:rFonts w:hint="default" w:ascii="Times New Roman" w:hAnsi="Times New Roman" w:eastAsia="方正仿宋_GBK" w:cs="方正仿宋_GBK"/>
          <w:sz w:val="32"/>
          <w:szCs w:val="32"/>
          <w:shd w:val="clear" w:color="auto" w:fill="FFFFFF"/>
          <w:lang w:eastAsia="zh-CN"/>
        </w:rPr>
        <w:t>2024</w:t>
      </w:r>
      <w:r>
        <w:rPr>
          <w:rFonts w:hint="eastAsia" w:ascii="Times New Roman" w:hAnsi="Times New Roman" w:eastAsia="方正仿宋_GBK" w:cs="方正仿宋_GBK"/>
          <w:sz w:val="32"/>
          <w:szCs w:val="32"/>
          <w:shd w:val="clear" w:color="auto" w:fill="FFFFFF"/>
          <w:lang w:eastAsia="zh-CN"/>
        </w:rPr>
        <w:t>年度无国有资本经营预算财政拨款支出。</w:t>
      </w:r>
    </w:p>
    <w:p>
      <w:pPr>
        <w:pStyle w:val="10"/>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600" w:lineRule="exact"/>
        <w:ind w:firstLine="642" w:firstLineChars="200"/>
        <w:textAlignment w:val="auto"/>
        <w:rPr>
          <w:rStyle w:val="14"/>
          <w:rFonts w:hint="default" w:ascii="Times New Roman" w:hAnsi="Times New Roman" w:eastAsia="方正仿宋_GBK" w:cs="黑体"/>
          <w:sz w:val="32"/>
          <w:szCs w:val="32"/>
          <w:shd w:val="clear" w:color="auto" w:fill="FFFFFF"/>
        </w:rPr>
      </w:pPr>
      <w:r>
        <w:rPr>
          <w:rStyle w:val="14"/>
          <w:rFonts w:ascii="Times New Roman" w:hAnsi="Times New Roman" w:eastAsia="方正仿宋_GBK" w:cs="黑体"/>
          <w:sz w:val="32"/>
          <w:szCs w:val="32"/>
          <w:shd w:val="clear" w:color="auto" w:fill="FFFFFF"/>
        </w:rPr>
        <w:t>三、</w:t>
      </w:r>
      <w:r>
        <w:rPr>
          <w:rStyle w:val="14"/>
          <w:rFonts w:hint="eastAsia" w:ascii="Times New Roman" w:hAnsi="Times New Roman" w:eastAsia="方正仿宋_GBK" w:cs="黑体"/>
          <w:sz w:val="32"/>
          <w:szCs w:val="32"/>
          <w:shd w:val="clear" w:color="auto" w:fill="FFFFFF"/>
          <w:lang w:eastAsia="zh-CN"/>
        </w:rPr>
        <w:t>财政拨款</w:t>
      </w:r>
      <w:r>
        <w:rPr>
          <w:rStyle w:val="14"/>
          <w:rFonts w:ascii="Times New Roman" w:hAnsi="Times New Roman" w:eastAsia="方正仿宋_GBK" w:cs="黑体"/>
          <w:sz w:val="32"/>
          <w:szCs w:val="32"/>
          <w:shd w:val="clear" w:color="auto" w:fill="FFFFFF"/>
        </w:rPr>
        <w:t>“三公”经费情况说明</w:t>
      </w:r>
    </w:p>
    <w:p>
      <w:pPr>
        <w:pStyle w:val="15"/>
        <w:keepNext w:val="0"/>
        <w:keepLines w:val="0"/>
        <w:pageBreakBefore w:val="0"/>
        <w:widowControl w:val="0"/>
        <w:kinsoku/>
        <w:wordWrap/>
        <w:overflowPunct/>
        <w:topLinePunct w:val="0"/>
        <w:autoSpaceDE w:val="0"/>
        <w:autoSpaceDN/>
        <w:bidi w:val="0"/>
        <w:adjustRightInd/>
        <w:snapToGrid/>
        <w:spacing w:beforeAutospacing="0" w:afterAutospacing="0" w:line="600" w:lineRule="exact"/>
        <w:ind w:firstLine="642" w:firstLineChars="200"/>
        <w:textAlignment w:val="auto"/>
        <w:rPr>
          <w:rFonts w:ascii="Times New Roman" w:hAnsi="Times New Roman" w:eastAsia="方正仿宋_GBK" w:cs="楷体"/>
          <w:b/>
          <w:bCs/>
          <w:sz w:val="32"/>
          <w:szCs w:val="32"/>
          <w:shd w:val="clear" w:color="auto" w:fill="FFFFFF"/>
        </w:rPr>
      </w:pPr>
      <w:r>
        <w:rPr>
          <w:rFonts w:hint="eastAsia" w:ascii="Times New Roman" w:hAnsi="Times New Roman" w:eastAsia="方正仿宋_GBK" w:cs="楷体"/>
          <w:b/>
          <w:bCs/>
          <w:sz w:val="32"/>
          <w:szCs w:val="32"/>
          <w:shd w:val="clear" w:color="auto" w:fill="FFFFFF"/>
        </w:rPr>
        <w:t>（一）“三公”经费支出总体情况说明</w:t>
      </w:r>
    </w:p>
    <w:p>
      <w:pPr>
        <w:pStyle w:val="10"/>
        <w:keepNext w:val="0"/>
        <w:keepLines w:val="0"/>
        <w:pageBreakBefore w:val="0"/>
        <w:widowControl w:val="0"/>
        <w:kinsoku/>
        <w:wordWrap/>
        <w:overflowPunct/>
        <w:topLinePunct w:val="0"/>
        <w:autoSpaceDN/>
        <w:bidi w:val="0"/>
        <w:adjustRightInd/>
        <w:snapToGrid w:val="0"/>
        <w:spacing w:before="0" w:beforeAutospacing="0" w:after="0" w:afterAutospacing="0" w:line="600" w:lineRule="exact"/>
        <w:ind w:firstLine="640" w:firstLineChars="200"/>
        <w:jc w:val="both"/>
        <w:textAlignment w:val="auto"/>
        <w:rPr>
          <w:rFonts w:hint="eastAsia" w:ascii="Times New Roman" w:hAnsi="Times New Roman" w:eastAsia="方正仿宋_GBK" w:cs="方正仿宋_GBK"/>
          <w:sz w:val="32"/>
          <w:szCs w:val="32"/>
          <w:lang w:eastAsia="zh-CN"/>
        </w:rPr>
      </w:pPr>
      <w:r>
        <w:rPr>
          <w:rFonts w:hint="default" w:ascii="Times New Roman" w:hAnsi="Times New Roman" w:eastAsia="方正仿宋_GBK"/>
          <w:sz w:val="32"/>
          <w:szCs w:val="32"/>
          <w:shd w:val="clear" w:color="auto" w:fill="FFFFFF"/>
        </w:rPr>
        <w:t>2024</w:t>
      </w:r>
      <w:r>
        <w:rPr>
          <w:rFonts w:ascii="Times New Roman" w:hAnsi="Times New Roman" w:eastAsia="方正仿宋_GBK" w:cs="方正仿宋_GBK"/>
          <w:sz w:val="32"/>
          <w:szCs w:val="32"/>
          <w:shd w:val="clear" w:color="auto" w:fill="FFFFFF"/>
        </w:rPr>
        <w:t>年度“三公”经费支出共计</w:t>
      </w:r>
      <w:r>
        <w:rPr>
          <w:rFonts w:hint="default" w:ascii="Times New Roman" w:hAnsi="Times New Roman" w:eastAsia="方正仿宋_GBK"/>
          <w:sz w:val="32"/>
          <w:szCs w:val="32"/>
          <w:shd w:val="clear" w:color="auto" w:fill="FFFFFF"/>
        </w:rPr>
        <w:t>0.55</w:t>
      </w:r>
      <w:r>
        <w:rPr>
          <w:rFonts w:ascii="Times New Roman" w:hAnsi="Times New Roman" w:eastAsia="方正仿宋_GBK" w:cs="方正仿宋_GBK"/>
          <w:sz w:val="32"/>
          <w:szCs w:val="32"/>
          <w:shd w:val="clear" w:color="auto" w:fill="FFFFFF"/>
        </w:rPr>
        <w:t>万元，</w:t>
      </w:r>
      <w:r>
        <w:rPr>
          <w:rFonts w:hint="default" w:ascii="Times New Roman" w:hAnsi="Times New Roman" w:eastAsia="方正仿宋_GBK"/>
          <w:sz w:val="32"/>
          <w:szCs w:val="32"/>
          <w:shd w:val="clear" w:color="auto" w:fill="FFFFFF"/>
        </w:rPr>
        <w:t>较年初预算数减少1.05万元，下降65.6%</w:t>
      </w:r>
      <w:r>
        <w:rPr>
          <w:rFonts w:ascii="Times New Roman" w:hAnsi="Times New Roman" w:eastAsia="方正仿宋_GBK" w:cs="方正仿宋_GBK"/>
          <w:sz w:val="32"/>
          <w:szCs w:val="32"/>
          <w:shd w:val="clear" w:color="auto" w:fill="FFFFFF"/>
        </w:rPr>
        <w:t>，主要原因是</w:t>
      </w:r>
      <w:r>
        <w:rPr>
          <w:rFonts w:hint="eastAsia" w:ascii="Times New Roman" w:hAnsi="Times New Roman" w:eastAsia="方正仿宋_GBK" w:cs="方正仿宋_GBK"/>
          <w:sz w:val="32"/>
          <w:szCs w:val="32"/>
          <w:shd w:val="clear" w:color="auto" w:fill="FFFFFF"/>
          <w:lang w:val="en-US" w:eastAsia="zh-CN"/>
        </w:rPr>
        <w:t>按相关规定压缩三公经费支出。</w:t>
      </w:r>
      <w:r>
        <w:rPr>
          <w:rFonts w:hint="default" w:ascii="Times New Roman" w:hAnsi="Times New Roman" w:eastAsia="方正仿宋_GBK"/>
          <w:sz w:val="32"/>
          <w:szCs w:val="32"/>
          <w:shd w:val="clear" w:color="auto" w:fill="FFFFFF"/>
        </w:rPr>
        <w:t>较上年支出数无增减，主要原因是</w:t>
      </w:r>
      <w:r>
        <w:rPr>
          <w:rFonts w:hint="eastAsia" w:ascii="Times New Roman" w:hAnsi="Times New Roman" w:eastAsia="方正仿宋_GBK"/>
          <w:sz w:val="32"/>
          <w:szCs w:val="32"/>
          <w:shd w:val="clear" w:color="auto" w:fill="FFFFFF"/>
          <w:lang w:eastAsia="zh-CN"/>
        </w:rPr>
        <w:t>厉行节俭，严格控制“三公”经费支出。</w:t>
      </w:r>
    </w:p>
    <w:p>
      <w:pPr>
        <w:pStyle w:val="15"/>
        <w:keepNext w:val="0"/>
        <w:keepLines w:val="0"/>
        <w:pageBreakBefore w:val="0"/>
        <w:widowControl w:val="0"/>
        <w:kinsoku/>
        <w:wordWrap/>
        <w:overflowPunct/>
        <w:topLinePunct w:val="0"/>
        <w:autoSpaceDE w:val="0"/>
        <w:autoSpaceDN/>
        <w:bidi w:val="0"/>
        <w:adjustRightInd/>
        <w:snapToGrid/>
        <w:spacing w:beforeAutospacing="0" w:afterAutospacing="0" w:line="600" w:lineRule="exact"/>
        <w:ind w:firstLine="642" w:firstLineChars="200"/>
        <w:textAlignment w:val="auto"/>
        <w:rPr>
          <w:rFonts w:ascii="Times New Roman" w:hAnsi="Times New Roman" w:eastAsia="方正仿宋_GBK" w:cs="楷体"/>
          <w:b/>
          <w:bCs/>
          <w:sz w:val="32"/>
          <w:szCs w:val="32"/>
          <w:shd w:val="clear" w:color="auto" w:fill="FFFFFF"/>
        </w:rPr>
      </w:pPr>
      <w:r>
        <w:rPr>
          <w:rFonts w:hint="eastAsia" w:ascii="Times New Roman" w:hAnsi="Times New Roman" w:eastAsia="方正仿宋_GBK" w:cs="楷体"/>
          <w:b/>
          <w:bCs/>
          <w:sz w:val="32"/>
          <w:szCs w:val="32"/>
          <w:shd w:val="clear" w:color="auto" w:fill="FFFFFF"/>
        </w:rPr>
        <w:t>（二）“三公”经费分项支出情况</w:t>
      </w:r>
    </w:p>
    <w:p>
      <w:pPr>
        <w:pStyle w:val="10"/>
        <w:keepNext w:val="0"/>
        <w:keepLines w:val="0"/>
        <w:pageBreakBefore w:val="0"/>
        <w:widowControl w:val="0"/>
        <w:kinsoku/>
        <w:wordWrap/>
        <w:overflowPunct/>
        <w:topLinePunct w:val="0"/>
        <w:autoSpaceDN/>
        <w:bidi w:val="0"/>
        <w:adjustRightInd/>
        <w:snapToGrid w:val="0"/>
        <w:spacing w:before="0" w:beforeAutospacing="0" w:after="0" w:afterAutospacing="0" w:line="600" w:lineRule="exact"/>
        <w:ind w:firstLine="640" w:firstLineChars="200"/>
        <w:jc w:val="both"/>
        <w:textAlignment w:val="auto"/>
        <w:rPr>
          <w:rFonts w:hint="default" w:ascii="Times New Roman" w:hAnsi="Times New Roman" w:eastAsia="方正仿宋_GBK"/>
          <w:sz w:val="32"/>
          <w:szCs w:val="32"/>
          <w:shd w:val="clear" w:color="auto" w:fill="FFFFFF"/>
        </w:rPr>
      </w:pPr>
      <w:r>
        <w:rPr>
          <w:rFonts w:hint="default" w:ascii="Times New Roman" w:hAnsi="Times New Roman" w:eastAsia="方正仿宋_GBK"/>
          <w:sz w:val="32"/>
          <w:szCs w:val="32"/>
          <w:shd w:val="clear" w:color="auto" w:fill="FFFFFF"/>
          <w:lang w:val="en-US" w:eastAsia="zh-CN"/>
        </w:rPr>
        <w:t>202</w:t>
      </w:r>
      <w:r>
        <w:rPr>
          <w:rFonts w:hint="eastAsia" w:ascii="Times New Roman" w:hAnsi="Times New Roman" w:eastAsia="方正仿宋_GBK"/>
          <w:sz w:val="32"/>
          <w:szCs w:val="32"/>
          <w:shd w:val="clear" w:color="auto" w:fill="FFFFFF"/>
          <w:lang w:val="en-US" w:eastAsia="zh-CN"/>
        </w:rPr>
        <w:t>4年度本单位未发生因公出国（境）费用。</w:t>
      </w:r>
    </w:p>
    <w:p>
      <w:pPr>
        <w:pStyle w:val="10"/>
        <w:keepNext w:val="0"/>
        <w:keepLines w:val="0"/>
        <w:pageBreakBefore w:val="0"/>
        <w:widowControl w:val="0"/>
        <w:kinsoku/>
        <w:wordWrap/>
        <w:overflowPunct/>
        <w:topLinePunct w:val="0"/>
        <w:autoSpaceDN/>
        <w:bidi w:val="0"/>
        <w:adjustRightInd/>
        <w:snapToGrid w:val="0"/>
        <w:spacing w:before="0" w:beforeAutospacing="0" w:after="0" w:afterAutospacing="0" w:line="600" w:lineRule="exact"/>
        <w:ind w:firstLine="640" w:firstLineChars="200"/>
        <w:jc w:val="both"/>
        <w:textAlignment w:val="auto"/>
        <w:rPr>
          <w:rFonts w:hint="default" w:ascii="Times New Roman" w:hAnsi="Times New Roman" w:eastAsia="方正仿宋_GBK"/>
          <w:sz w:val="32"/>
          <w:szCs w:val="32"/>
          <w:shd w:val="clear" w:color="auto" w:fill="FFFFFF"/>
        </w:rPr>
      </w:pPr>
      <w:r>
        <w:rPr>
          <w:rFonts w:hint="default" w:ascii="Times New Roman" w:hAnsi="Times New Roman" w:eastAsia="方正仿宋_GBK"/>
          <w:sz w:val="32"/>
          <w:szCs w:val="32"/>
          <w:shd w:val="clear" w:color="auto" w:fill="FFFFFF"/>
          <w:lang w:val="en-US" w:eastAsia="zh-CN"/>
        </w:rPr>
        <w:t>202</w:t>
      </w:r>
      <w:r>
        <w:rPr>
          <w:rFonts w:hint="eastAsia" w:ascii="Times New Roman" w:hAnsi="Times New Roman" w:eastAsia="方正仿宋_GBK"/>
          <w:sz w:val="32"/>
          <w:szCs w:val="32"/>
          <w:shd w:val="clear" w:color="auto" w:fill="FFFFFF"/>
          <w:lang w:val="en-US" w:eastAsia="zh-CN"/>
        </w:rPr>
        <w:t>4年度本单位未发生公务车购置费。</w:t>
      </w:r>
    </w:p>
    <w:p>
      <w:pPr>
        <w:pStyle w:val="10"/>
        <w:keepNext w:val="0"/>
        <w:keepLines w:val="0"/>
        <w:pageBreakBefore w:val="0"/>
        <w:widowControl w:val="0"/>
        <w:kinsoku/>
        <w:wordWrap/>
        <w:overflowPunct/>
        <w:topLinePunct w:val="0"/>
        <w:autoSpaceDN/>
        <w:bidi w:val="0"/>
        <w:adjustRightInd/>
        <w:snapToGrid w:val="0"/>
        <w:spacing w:before="0" w:beforeAutospacing="0" w:after="0" w:afterAutospacing="0" w:line="600" w:lineRule="exact"/>
        <w:ind w:firstLine="640" w:firstLineChars="200"/>
        <w:jc w:val="both"/>
        <w:textAlignment w:val="auto"/>
        <w:rPr>
          <w:rFonts w:hint="default" w:ascii="Times New Roman" w:hAnsi="Times New Roman" w:eastAsia="方正仿宋_GBK"/>
          <w:sz w:val="32"/>
          <w:szCs w:val="32"/>
          <w:shd w:val="clear" w:color="auto" w:fill="FFFFFF"/>
        </w:rPr>
      </w:pPr>
      <w:r>
        <w:rPr>
          <w:rFonts w:hint="default" w:ascii="Times New Roman" w:hAnsi="Times New Roman" w:eastAsia="方正仿宋_GBK"/>
          <w:sz w:val="32"/>
          <w:szCs w:val="32"/>
          <w:shd w:val="clear" w:color="auto" w:fill="FFFFFF"/>
          <w:lang w:val="en-US" w:eastAsia="zh-CN"/>
        </w:rPr>
        <w:t>202</w:t>
      </w:r>
      <w:r>
        <w:rPr>
          <w:rFonts w:hint="eastAsia" w:ascii="Times New Roman" w:hAnsi="Times New Roman" w:eastAsia="方正仿宋_GBK"/>
          <w:sz w:val="32"/>
          <w:szCs w:val="32"/>
          <w:shd w:val="clear" w:color="auto" w:fill="FFFFFF"/>
          <w:lang w:val="en-US" w:eastAsia="zh-CN"/>
        </w:rPr>
        <w:t>4年度本单位未发生</w:t>
      </w:r>
      <w:r>
        <w:rPr>
          <w:rFonts w:hint="default" w:ascii="Times New Roman" w:hAnsi="Times New Roman" w:eastAsia="方正仿宋_GBK"/>
          <w:sz w:val="32"/>
          <w:szCs w:val="32"/>
          <w:shd w:val="clear" w:color="auto" w:fill="FFFFFF"/>
        </w:rPr>
        <w:t>公务车运行维护费</w:t>
      </w:r>
    </w:p>
    <w:p>
      <w:pPr>
        <w:pStyle w:val="10"/>
        <w:keepNext w:val="0"/>
        <w:keepLines w:val="0"/>
        <w:pageBreakBefore w:val="0"/>
        <w:widowControl w:val="0"/>
        <w:kinsoku/>
        <w:wordWrap/>
        <w:overflowPunct/>
        <w:topLinePunct w:val="0"/>
        <w:autoSpaceDN/>
        <w:bidi w:val="0"/>
        <w:adjustRightInd/>
        <w:snapToGrid w:val="0"/>
        <w:spacing w:before="0" w:beforeAutospacing="0" w:after="0" w:afterAutospacing="0" w:line="600" w:lineRule="exact"/>
        <w:ind w:firstLine="640" w:firstLineChars="200"/>
        <w:jc w:val="both"/>
        <w:textAlignment w:val="auto"/>
        <w:rPr>
          <w:rFonts w:hint="default" w:ascii="Times New Roman" w:hAnsi="Times New Roman" w:eastAsia="方正仿宋_GBK" w:cs="方正仿宋_GBK"/>
          <w:sz w:val="32"/>
          <w:szCs w:val="32"/>
        </w:rPr>
      </w:pPr>
      <w:r>
        <w:rPr>
          <w:rFonts w:ascii="Times New Roman" w:hAnsi="Times New Roman" w:eastAsia="方正仿宋_GBK" w:cs="方正仿宋_GBK"/>
          <w:sz w:val="32"/>
          <w:szCs w:val="32"/>
          <w:shd w:val="clear" w:color="auto" w:fill="FFFFFF"/>
        </w:rPr>
        <w:t>公务接待费</w:t>
      </w:r>
      <w:r>
        <w:rPr>
          <w:rFonts w:hint="default" w:ascii="Times New Roman" w:hAnsi="Times New Roman" w:eastAsia="方正仿宋_GBK"/>
          <w:sz w:val="32"/>
          <w:szCs w:val="32"/>
          <w:shd w:val="clear" w:color="auto" w:fill="FFFFFF"/>
        </w:rPr>
        <w:t>0.55</w:t>
      </w:r>
      <w:r>
        <w:rPr>
          <w:rFonts w:ascii="Times New Roman" w:hAnsi="Times New Roman" w:eastAsia="方正仿宋_GBK" w:cs="方正仿宋_GBK"/>
          <w:sz w:val="32"/>
          <w:szCs w:val="32"/>
          <w:shd w:val="clear" w:color="auto" w:fill="FFFFFF"/>
        </w:rPr>
        <w:t>万元，主要用于接待</w:t>
      </w:r>
      <w:r>
        <w:rPr>
          <w:rFonts w:hint="eastAsia" w:ascii="Times New Roman" w:hAnsi="Times New Roman" w:eastAsia="方正仿宋_GBK" w:cs="方正仿宋_GBK"/>
          <w:sz w:val="32"/>
          <w:szCs w:val="32"/>
          <w:shd w:val="clear" w:color="auto" w:fill="FFFFFF"/>
          <w:lang w:val="en-US" w:eastAsia="zh-CN"/>
        </w:rPr>
        <w:t>接待各部门检查、工作会议等工作用餐及职工加班餐。</w:t>
      </w:r>
      <w:r>
        <w:rPr>
          <w:rFonts w:ascii="Times New Roman" w:hAnsi="Times New Roman" w:eastAsia="方正仿宋_GBK" w:cs="方正仿宋_GBK"/>
          <w:sz w:val="32"/>
          <w:szCs w:val="32"/>
          <w:shd w:val="clear" w:color="auto" w:fill="FFFFFF"/>
        </w:rPr>
        <w:t>费用支出</w:t>
      </w:r>
      <w:r>
        <w:rPr>
          <w:rFonts w:hint="default" w:ascii="Times New Roman" w:hAnsi="Times New Roman" w:eastAsia="方正仿宋_GBK"/>
          <w:sz w:val="32"/>
          <w:szCs w:val="32"/>
          <w:shd w:val="clear" w:color="auto" w:fill="FFFFFF"/>
        </w:rPr>
        <w:t>较年初预算数减少1.05万元，下降65.6%</w:t>
      </w:r>
      <w:r>
        <w:rPr>
          <w:rFonts w:ascii="Times New Roman" w:hAnsi="Times New Roman" w:eastAsia="方正仿宋_GBK" w:cs="方正仿宋_GBK"/>
          <w:sz w:val="32"/>
          <w:szCs w:val="32"/>
          <w:shd w:val="clear" w:color="auto" w:fill="FFFFFF"/>
        </w:rPr>
        <w:t>，主要原因是</w:t>
      </w:r>
      <w:r>
        <w:rPr>
          <w:rFonts w:hint="eastAsia" w:ascii="Times New Roman" w:hAnsi="Times New Roman" w:eastAsia="方正仿宋_GBK" w:cs="方正仿宋_GBK"/>
          <w:sz w:val="32"/>
          <w:szCs w:val="32"/>
          <w:shd w:val="clear" w:color="auto" w:fill="FFFFFF"/>
          <w:lang w:eastAsia="zh-CN"/>
        </w:rPr>
        <w:t>坚守中央八项规定要求、厉行节俭，减少不必要公务接待。</w:t>
      </w:r>
      <w:r>
        <w:rPr>
          <w:rFonts w:hint="default" w:ascii="Times New Roman" w:hAnsi="Times New Roman" w:eastAsia="方正仿宋_GBK"/>
          <w:sz w:val="32"/>
          <w:szCs w:val="32"/>
          <w:shd w:val="clear" w:color="auto" w:fill="FFFFFF"/>
        </w:rPr>
        <w:t>较上年支出数无增减</w:t>
      </w:r>
      <w:r>
        <w:rPr>
          <w:rFonts w:ascii="Times New Roman" w:hAnsi="Times New Roman" w:eastAsia="方正仿宋_GBK" w:cs="方正仿宋_GBK"/>
          <w:sz w:val="32"/>
          <w:szCs w:val="32"/>
          <w:shd w:val="clear" w:color="auto" w:fill="FFFFFF"/>
        </w:rPr>
        <w:t>，主要原因</w:t>
      </w:r>
      <w:r>
        <w:rPr>
          <w:rFonts w:hint="default" w:ascii="Times New Roman" w:hAnsi="Times New Roman" w:eastAsia="方正仿宋_GBK"/>
          <w:sz w:val="32"/>
          <w:szCs w:val="32"/>
          <w:shd w:val="clear" w:color="auto" w:fill="FFFFFF"/>
        </w:rPr>
        <w:t>是</w:t>
      </w:r>
      <w:r>
        <w:rPr>
          <w:rFonts w:hint="eastAsia" w:ascii="Times New Roman" w:hAnsi="Times New Roman" w:eastAsia="方正仿宋_GBK"/>
          <w:sz w:val="32"/>
          <w:szCs w:val="32"/>
          <w:shd w:val="clear" w:color="auto" w:fill="FFFFFF"/>
          <w:lang w:eastAsia="zh-CN"/>
        </w:rPr>
        <w:t>厉行节俭，严格控制</w:t>
      </w:r>
      <w:r>
        <w:rPr>
          <w:rFonts w:ascii="Times New Roman" w:hAnsi="Times New Roman" w:eastAsia="方正仿宋_GBK" w:cs="方正仿宋_GBK"/>
          <w:sz w:val="32"/>
          <w:szCs w:val="32"/>
          <w:shd w:val="clear" w:color="auto" w:fill="FFFFFF"/>
        </w:rPr>
        <w:t>公务接待费</w:t>
      </w:r>
      <w:r>
        <w:rPr>
          <w:rFonts w:hint="eastAsia" w:ascii="Times New Roman" w:hAnsi="Times New Roman" w:eastAsia="方正仿宋_GBK"/>
          <w:sz w:val="32"/>
          <w:szCs w:val="32"/>
          <w:shd w:val="clear" w:color="auto" w:fill="FFFFFF"/>
          <w:lang w:eastAsia="zh-CN"/>
        </w:rPr>
        <w:t>支出。</w:t>
      </w:r>
    </w:p>
    <w:p>
      <w:pPr>
        <w:pStyle w:val="15"/>
        <w:keepNext w:val="0"/>
        <w:keepLines w:val="0"/>
        <w:pageBreakBefore w:val="0"/>
        <w:widowControl w:val="0"/>
        <w:kinsoku/>
        <w:wordWrap/>
        <w:overflowPunct/>
        <w:topLinePunct w:val="0"/>
        <w:autoSpaceDE w:val="0"/>
        <w:autoSpaceDN/>
        <w:bidi w:val="0"/>
        <w:adjustRightInd/>
        <w:snapToGrid/>
        <w:spacing w:beforeAutospacing="0" w:afterAutospacing="0" w:line="600" w:lineRule="exact"/>
        <w:ind w:firstLine="642" w:firstLineChars="200"/>
        <w:textAlignment w:val="auto"/>
        <w:rPr>
          <w:rFonts w:ascii="Times New Roman" w:hAnsi="Times New Roman" w:eastAsia="方正仿宋_GBK" w:cs="楷体"/>
          <w:b/>
          <w:bCs/>
          <w:sz w:val="32"/>
          <w:szCs w:val="32"/>
          <w:shd w:val="clear" w:color="auto" w:fill="FFFFFF"/>
        </w:rPr>
      </w:pPr>
      <w:r>
        <w:rPr>
          <w:rFonts w:hint="eastAsia" w:ascii="Times New Roman" w:hAnsi="Times New Roman" w:eastAsia="方正仿宋_GBK" w:cs="楷体"/>
          <w:b/>
          <w:bCs/>
          <w:sz w:val="32"/>
          <w:szCs w:val="32"/>
          <w:shd w:val="clear" w:color="auto" w:fill="FFFFFF"/>
        </w:rPr>
        <w:t>（三）“三公”经费实物量情况</w:t>
      </w:r>
    </w:p>
    <w:p>
      <w:pPr>
        <w:pStyle w:val="10"/>
        <w:keepNext w:val="0"/>
        <w:keepLines w:val="0"/>
        <w:pageBreakBefore w:val="0"/>
        <w:widowControl w:val="0"/>
        <w:kinsoku/>
        <w:wordWrap/>
        <w:overflowPunct/>
        <w:topLinePunct w:val="0"/>
        <w:autoSpaceDN/>
        <w:bidi w:val="0"/>
        <w:adjustRightInd/>
        <w:snapToGrid w:val="0"/>
        <w:spacing w:before="0" w:beforeAutospacing="0" w:after="0" w:afterAutospacing="0" w:line="600" w:lineRule="exact"/>
        <w:ind w:firstLine="640" w:firstLineChars="200"/>
        <w:jc w:val="both"/>
        <w:textAlignment w:val="auto"/>
        <w:rPr>
          <w:rFonts w:hint="default" w:ascii="Times New Roman" w:hAnsi="Times New Roman" w:eastAsia="方正仿宋_GBK" w:cs="方正仿宋_GBK"/>
          <w:sz w:val="32"/>
          <w:szCs w:val="32"/>
        </w:rPr>
      </w:pPr>
      <w:r>
        <w:rPr>
          <w:rFonts w:hint="default" w:ascii="Times New Roman" w:hAnsi="Times New Roman" w:eastAsia="方正仿宋_GBK"/>
          <w:sz w:val="32"/>
          <w:szCs w:val="32"/>
          <w:shd w:val="clear" w:color="auto" w:fill="FFFFFF"/>
        </w:rPr>
        <w:t>2024</w:t>
      </w:r>
      <w:r>
        <w:rPr>
          <w:rFonts w:ascii="Times New Roman" w:hAnsi="Times New Roman" w:eastAsia="方正仿宋_GBK" w:cs="方正仿宋_GBK"/>
          <w:sz w:val="32"/>
          <w:szCs w:val="32"/>
          <w:shd w:val="clear" w:color="auto" w:fill="FFFFFF"/>
        </w:rPr>
        <w:t>年度本部门因公出国（境）共计</w:t>
      </w:r>
      <w:r>
        <w:rPr>
          <w:rFonts w:hint="default" w:ascii="Times New Roman" w:hAnsi="Times New Roman" w:eastAsia="方正仿宋_GBK"/>
          <w:sz w:val="32"/>
          <w:szCs w:val="32"/>
          <w:shd w:val="clear" w:color="auto" w:fill="FFFFFF"/>
        </w:rPr>
        <w:t>0</w:t>
      </w:r>
      <w:r>
        <w:rPr>
          <w:rFonts w:ascii="Times New Roman" w:hAnsi="Times New Roman" w:eastAsia="方正仿宋_GBK" w:cs="方正仿宋_GBK"/>
          <w:sz w:val="32"/>
          <w:szCs w:val="32"/>
          <w:shd w:val="clear" w:color="auto" w:fill="FFFFFF"/>
        </w:rPr>
        <w:t>个团组，</w:t>
      </w:r>
      <w:r>
        <w:rPr>
          <w:rFonts w:hint="default" w:ascii="Times New Roman" w:hAnsi="Times New Roman" w:eastAsia="方正仿宋_GBK"/>
          <w:sz w:val="32"/>
          <w:szCs w:val="32"/>
          <w:shd w:val="clear" w:color="auto" w:fill="FFFFFF"/>
        </w:rPr>
        <w:t>0</w:t>
      </w:r>
      <w:r>
        <w:rPr>
          <w:rFonts w:ascii="Times New Roman" w:hAnsi="Times New Roman" w:eastAsia="方正仿宋_GBK" w:cs="方正仿宋_GBK"/>
          <w:sz w:val="32"/>
          <w:szCs w:val="32"/>
          <w:shd w:val="clear" w:color="auto" w:fill="FFFFFF"/>
        </w:rPr>
        <w:t>人；公务用车购置</w:t>
      </w:r>
      <w:r>
        <w:rPr>
          <w:rFonts w:hint="default" w:ascii="Times New Roman" w:hAnsi="Times New Roman" w:eastAsia="方正仿宋_GBK"/>
          <w:sz w:val="32"/>
          <w:szCs w:val="32"/>
          <w:shd w:val="clear" w:color="auto" w:fill="FFFFFF"/>
        </w:rPr>
        <w:t>0</w:t>
      </w:r>
      <w:r>
        <w:rPr>
          <w:rFonts w:ascii="Times New Roman" w:hAnsi="Times New Roman" w:eastAsia="方正仿宋_GBK" w:cs="方正仿宋_GBK"/>
          <w:sz w:val="32"/>
          <w:szCs w:val="32"/>
          <w:shd w:val="clear" w:color="auto" w:fill="FFFFFF"/>
        </w:rPr>
        <w:t>辆，公务车保有量为</w:t>
      </w:r>
      <w:r>
        <w:rPr>
          <w:rFonts w:hint="default" w:ascii="Times New Roman" w:hAnsi="Times New Roman" w:eastAsia="方正仿宋_GBK"/>
          <w:sz w:val="32"/>
          <w:szCs w:val="32"/>
          <w:shd w:val="clear" w:color="auto" w:fill="FFFFFF"/>
        </w:rPr>
        <w:t>0</w:t>
      </w:r>
      <w:r>
        <w:rPr>
          <w:rFonts w:ascii="Times New Roman" w:hAnsi="Times New Roman" w:eastAsia="方正仿宋_GBK" w:cs="方正仿宋_GBK"/>
          <w:sz w:val="32"/>
          <w:szCs w:val="32"/>
          <w:shd w:val="clear" w:color="auto" w:fill="FFFFFF"/>
        </w:rPr>
        <w:t>辆；国内公务接待</w:t>
      </w:r>
      <w:r>
        <w:rPr>
          <w:rFonts w:hint="default" w:ascii="Times New Roman" w:hAnsi="Times New Roman" w:eastAsia="方正仿宋_GBK"/>
          <w:sz w:val="32"/>
          <w:szCs w:val="32"/>
          <w:shd w:val="clear" w:color="auto" w:fill="FFFFFF"/>
        </w:rPr>
        <w:t>16</w:t>
      </w:r>
      <w:r>
        <w:rPr>
          <w:rFonts w:ascii="Times New Roman" w:hAnsi="Times New Roman" w:eastAsia="方正仿宋_GBK" w:cs="方正仿宋_GBK"/>
          <w:sz w:val="32"/>
          <w:szCs w:val="32"/>
          <w:shd w:val="clear" w:color="auto" w:fill="FFFFFF"/>
        </w:rPr>
        <w:t>批次</w:t>
      </w:r>
      <w:r>
        <w:rPr>
          <w:rFonts w:hint="default" w:ascii="Times New Roman" w:hAnsi="Times New Roman" w:eastAsia="方正仿宋_GBK"/>
          <w:sz w:val="32"/>
          <w:szCs w:val="32"/>
          <w:shd w:val="clear" w:color="auto" w:fill="FFFFFF"/>
        </w:rPr>
        <w:t>150</w:t>
      </w:r>
      <w:r>
        <w:rPr>
          <w:rFonts w:ascii="Times New Roman" w:hAnsi="Times New Roman" w:eastAsia="方正仿宋_GBK" w:cs="方正仿宋_GBK"/>
          <w:sz w:val="32"/>
          <w:szCs w:val="32"/>
          <w:shd w:val="clear" w:color="auto" w:fill="FFFFFF"/>
        </w:rPr>
        <w:t>人，其中：国内外事接待</w:t>
      </w:r>
      <w:r>
        <w:rPr>
          <w:rFonts w:hint="default" w:ascii="Times New Roman" w:hAnsi="Times New Roman" w:eastAsia="方正仿宋_GBK"/>
          <w:sz w:val="32"/>
          <w:szCs w:val="32"/>
          <w:shd w:val="clear" w:color="auto" w:fill="FFFFFF"/>
        </w:rPr>
        <w:t>0</w:t>
      </w:r>
      <w:r>
        <w:rPr>
          <w:rFonts w:ascii="Times New Roman" w:hAnsi="Times New Roman" w:eastAsia="方正仿宋_GBK" w:cs="方正仿宋_GBK"/>
          <w:sz w:val="32"/>
          <w:szCs w:val="32"/>
          <w:shd w:val="clear" w:color="auto" w:fill="FFFFFF"/>
        </w:rPr>
        <w:t>批次，</w:t>
      </w:r>
      <w:r>
        <w:rPr>
          <w:rFonts w:hint="default" w:ascii="Times New Roman" w:hAnsi="Times New Roman" w:eastAsia="方正仿宋_GBK"/>
          <w:sz w:val="32"/>
          <w:szCs w:val="32"/>
          <w:shd w:val="clear" w:color="auto" w:fill="FFFFFF"/>
        </w:rPr>
        <w:t>0</w:t>
      </w:r>
      <w:r>
        <w:rPr>
          <w:rFonts w:ascii="Times New Roman" w:hAnsi="Times New Roman" w:eastAsia="方正仿宋_GBK" w:cs="方正仿宋_GBK"/>
          <w:sz w:val="32"/>
          <w:szCs w:val="32"/>
          <w:shd w:val="clear" w:color="auto" w:fill="FFFFFF"/>
        </w:rPr>
        <w:t>人；国（境）外公务接待</w:t>
      </w:r>
      <w:r>
        <w:rPr>
          <w:rFonts w:hint="default" w:ascii="Times New Roman" w:hAnsi="Times New Roman" w:eastAsia="方正仿宋_GBK"/>
          <w:sz w:val="32"/>
          <w:szCs w:val="32"/>
          <w:shd w:val="clear" w:color="auto" w:fill="FFFFFF"/>
        </w:rPr>
        <w:t>0</w:t>
      </w:r>
      <w:r>
        <w:rPr>
          <w:rFonts w:ascii="Times New Roman" w:hAnsi="Times New Roman" w:eastAsia="方正仿宋_GBK" w:cs="方正仿宋_GBK"/>
          <w:sz w:val="32"/>
          <w:szCs w:val="32"/>
          <w:shd w:val="clear" w:color="auto" w:fill="FFFFFF"/>
        </w:rPr>
        <w:t>批次，</w:t>
      </w:r>
      <w:r>
        <w:rPr>
          <w:rFonts w:hint="default" w:ascii="Times New Roman" w:hAnsi="Times New Roman" w:eastAsia="方正仿宋_GBK"/>
          <w:sz w:val="32"/>
          <w:szCs w:val="32"/>
          <w:shd w:val="clear" w:color="auto" w:fill="FFFFFF"/>
        </w:rPr>
        <w:t>0</w:t>
      </w:r>
      <w:r>
        <w:rPr>
          <w:rFonts w:ascii="Times New Roman" w:hAnsi="Times New Roman" w:eastAsia="方正仿宋_GBK" w:cs="方正仿宋_GBK"/>
          <w:sz w:val="32"/>
          <w:szCs w:val="32"/>
          <w:shd w:val="clear" w:color="auto" w:fill="FFFFFF"/>
        </w:rPr>
        <w:t>人。</w:t>
      </w:r>
      <w:r>
        <w:rPr>
          <w:rFonts w:hint="default" w:ascii="Times New Roman" w:hAnsi="Times New Roman" w:eastAsia="方正仿宋_GBK"/>
          <w:sz w:val="32"/>
          <w:szCs w:val="32"/>
          <w:shd w:val="clear" w:color="auto" w:fill="FFFFFF"/>
        </w:rPr>
        <w:t>2024</w:t>
      </w:r>
      <w:r>
        <w:rPr>
          <w:rFonts w:ascii="Times New Roman" w:hAnsi="Times New Roman" w:eastAsia="方正仿宋_GBK" w:cs="方正仿宋_GBK"/>
          <w:sz w:val="32"/>
          <w:szCs w:val="32"/>
          <w:shd w:val="clear" w:color="auto" w:fill="FFFFFF"/>
        </w:rPr>
        <w:t>年本部门人均接待费</w:t>
      </w:r>
      <w:r>
        <w:rPr>
          <w:rFonts w:hint="default" w:ascii="Times New Roman" w:hAnsi="Times New Roman" w:eastAsia="方正仿宋_GBK"/>
          <w:sz w:val="32"/>
          <w:szCs w:val="32"/>
          <w:shd w:val="clear" w:color="auto" w:fill="FFFFFF"/>
        </w:rPr>
        <w:t>36.57</w:t>
      </w:r>
      <w:r>
        <w:rPr>
          <w:rFonts w:ascii="Times New Roman" w:hAnsi="Times New Roman" w:eastAsia="方正仿宋_GBK" w:cs="方正仿宋_GBK"/>
          <w:sz w:val="32"/>
          <w:szCs w:val="32"/>
          <w:shd w:val="clear" w:color="auto" w:fill="FFFFFF"/>
        </w:rPr>
        <w:t>元，车均购置费</w:t>
      </w:r>
      <w:r>
        <w:rPr>
          <w:rFonts w:hint="default" w:ascii="Times New Roman" w:hAnsi="Times New Roman" w:eastAsia="方正仿宋_GBK"/>
          <w:sz w:val="32"/>
          <w:szCs w:val="32"/>
          <w:shd w:val="clear" w:color="auto" w:fill="FFFFFF"/>
        </w:rPr>
        <w:t>0</w:t>
      </w:r>
      <w:r>
        <w:rPr>
          <w:rFonts w:ascii="Times New Roman" w:hAnsi="Times New Roman" w:eastAsia="方正仿宋_GBK" w:cs="方正仿宋_GBK"/>
          <w:sz w:val="32"/>
          <w:szCs w:val="32"/>
          <w:shd w:val="clear" w:color="auto" w:fill="FFFFFF"/>
        </w:rPr>
        <w:t>万元，车均维护费</w:t>
      </w:r>
      <w:r>
        <w:rPr>
          <w:rFonts w:hint="default" w:ascii="Times New Roman" w:hAnsi="Times New Roman" w:eastAsia="方正仿宋_GBK"/>
          <w:sz w:val="32"/>
          <w:szCs w:val="32"/>
          <w:shd w:val="clear" w:color="auto" w:fill="FFFFFF"/>
        </w:rPr>
        <w:t>0</w:t>
      </w:r>
      <w:r>
        <w:rPr>
          <w:rFonts w:ascii="Times New Roman" w:hAnsi="Times New Roman" w:eastAsia="方正仿宋_GBK" w:cs="方正仿宋_GBK"/>
          <w:sz w:val="32"/>
          <w:szCs w:val="32"/>
          <w:shd w:val="clear" w:color="auto" w:fill="FFFFFF"/>
        </w:rPr>
        <w:t>万元。</w:t>
      </w:r>
    </w:p>
    <w:p>
      <w:pPr>
        <w:pStyle w:val="10"/>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600" w:lineRule="exact"/>
        <w:ind w:firstLine="642" w:firstLineChars="200"/>
        <w:textAlignment w:val="auto"/>
        <w:rPr>
          <w:rStyle w:val="14"/>
          <w:rFonts w:hint="default" w:ascii="Times New Roman" w:hAnsi="Times New Roman" w:eastAsia="方正仿宋_GBK" w:cs="黑体"/>
          <w:sz w:val="32"/>
          <w:szCs w:val="32"/>
          <w:shd w:val="clear" w:color="auto" w:fill="FFFFFF"/>
        </w:rPr>
      </w:pPr>
      <w:r>
        <w:rPr>
          <w:rStyle w:val="14"/>
          <w:rFonts w:ascii="Times New Roman" w:hAnsi="Times New Roman" w:eastAsia="方正仿宋_GBK" w:cs="黑体"/>
          <w:sz w:val="32"/>
          <w:szCs w:val="32"/>
          <w:shd w:val="clear" w:color="auto" w:fill="FFFFFF"/>
        </w:rPr>
        <w:t>四、其他需要说明的事项</w:t>
      </w:r>
    </w:p>
    <w:p>
      <w:pPr>
        <w:pStyle w:val="10"/>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600" w:lineRule="exact"/>
        <w:ind w:firstLine="642" w:firstLineChars="200"/>
        <w:jc w:val="both"/>
        <w:textAlignment w:val="auto"/>
        <w:rPr>
          <w:rFonts w:hint="default" w:ascii="Times New Roman" w:hAnsi="Times New Roman" w:eastAsia="方正仿宋_GBK" w:cs="楷体"/>
          <w:b/>
          <w:bCs/>
          <w:sz w:val="32"/>
          <w:szCs w:val="32"/>
          <w:shd w:val="clear" w:color="auto" w:fill="FFFFFF"/>
        </w:rPr>
      </w:pPr>
      <w:r>
        <w:rPr>
          <w:rFonts w:ascii="Times New Roman" w:hAnsi="Times New Roman" w:eastAsia="方正仿宋_GBK" w:cs="楷体"/>
          <w:b/>
          <w:bCs/>
          <w:sz w:val="32"/>
          <w:szCs w:val="32"/>
          <w:shd w:val="clear" w:color="auto" w:fill="FFFFFF"/>
        </w:rPr>
        <w:t>（一）财政拨款会议费、培训费和差旅费情况说明</w:t>
      </w:r>
    </w:p>
    <w:p>
      <w:pPr>
        <w:pStyle w:val="10"/>
        <w:keepNext w:val="0"/>
        <w:keepLines w:val="0"/>
        <w:pageBreakBefore w:val="0"/>
        <w:widowControl w:val="0"/>
        <w:kinsoku/>
        <w:wordWrap/>
        <w:overflowPunct/>
        <w:topLinePunct w:val="0"/>
        <w:autoSpaceDN/>
        <w:bidi w:val="0"/>
        <w:adjustRightInd/>
        <w:snapToGrid w:val="0"/>
        <w:spacing w:before="0" w:beforeAutospacing="0" w:after="0" w:afterAutospacing="0" w:line="600" w:lineRule="exact"/>
        <w:ind w:firstLine="640" w:firstLineChars="200"/>
        <w:jc w:val="both"/>
        <w:textAlignment w:val="auto"/>
        <w:rPr>
          <w:rFonts w:hint="default" w:ascii="Times New Roman" w:hAnsi="Times New Roman" w:eastAsia="方正仿宋_GBK" w:cs="方正仿宋_GBK"/>
          <w:sz w:val="32"/>
          <w:szCs w:val="32"/>
          <w:shd w:val="clear" w:color="auto" w:fill="FFFFFF"/>
        </w:rPr>
      </w:pPr>
      <w:r>
        <w:rPr>
          <w:rFonts w:hint="eastAsia" w:ascii="Times New Roman" w:hAnsi="Times New Roman" w:eastAsia="方正仿宋_GBK" w:cs="方正仿宋_GBK"/>
          <w:sz w:val="32"/>
          <w:szCs w:val="32"/>
          <w:shd w:val="clear" w:color="auto" w:fill="FFFFFF"/>
          <w:lang w:val="en-US" w:eastAsia="zh-CN"/>
        </w:rPr>
        <w:t>本单位2024年度无</w:t>
      </w:r>
      <w:r>
        <w:rPr>
          <w:rFonts w:ascii="Times New Roman" w:hAnsi="Times New Roman" w:eastAsia="方正仿宋_GBK" w:cs="方正仿宋_GBK"/>
          <w:sz w:val="32"/>
          <w:szCs w:val="32"/>
          <w:shd w:val="clear" w:color="auto" w:fill="FFFFFF"/>
        </w:rPr>
        <w:t>会议费</w:t>
      </w:r>
      <w:r>
        <w:rPr>
          <w:rFonts w:hint="eastAsia" w:ascii="Times New Roman" w:hAnsi="Times New Roman" w:eastAsia="方正仿宋_GBK" w:cs="方正仿宋_GBK"/>
          <w:sz w:val="32"/>
          <w:szCs w:val="32"/>
          <w:shd w:val="clear" w:color="auto" w:fill="FFFFFF"/>
          <w:lang w:eastAsia="zh-CN"/>
        </w:rPr>
        <w:t>，</w:t>
      </w:r>
      <w:r>
        <w:rPr>
          <w:rFonts w:ascii="Times New Roman" w:hAnsi="Times New Roman" w:eastAsia="方正仿宋_GBK" w:cs="方正仿宋_GBK"/>
          <w:sz w:val="32"/>
          <w:szCs w:val="32"/>
          <w:shd w:val="clear" w:color="auto" w:fill="FFFFFF"/>
        </w:rPr>
        <w:t>本年度培训费支出</w:t>
      </w:r>
      <w:r>
        <w:rPr>
          <w:rFonts w:hint="default" w:ascii="Times New Roman" w:hAnsi="Times New Roman" w:eastAsia="方正仿宋_GBK" w:cs="方正仿宋_GBK"/>
          <w:sz w:val="32"/>
          <w:szCs w:val="32"/>
          <w:shd w:val="clear" w:color="auto" w:fill="FFFFFF"/>
        </w:rPr>
        <w:t>0.85</w:t>
      </w:r>
      <w:r>
        <w:rPr>
          <w:rFonts w:ascii="Times New Roman" w:hAnsi="Times New Roman" w:eastAsia="方正仿宋_GBK" w:cs="方正仿宋_GBK"/>
          <w:sz w:val="32"/>
          <w:szCs w:val="32"/>
          <w:shd w:val="clear" w:color="auto" w:fill="FFFFFF"/>
        </w:rPr>
        <w:t>万元，</w:t>
      </w:r>
      <w:r>
        <w:rPr>
          <w:rFonts w:hint="default" w:ascii="Times New Roman" w:hAnsi="Times New Roman" w:eastAsia="方正仿宋_GBK" w:cs="方正仿宋_GBK"/>
          <w:sz w:val="32"/>
          <w:szCs w:val="32"/>
          <w:shd w:val="clear" w:color="auto" w:fill="FFFFFF"/>
        </w:rPr>
        <w:t>与2023年度相比，增加0.85万元，增长100.0%</w:t>
      </w:r>
      <w:r>
        <w:rPr>
          <w:rFonts w:ascii="Times New Roman" w:hAnsi="Times New Roman" w:eastAsia="方正仿宋_GBK" w:cs="方正仿宋_GBK"/>
          <w:sz w:val="32"/>
          <w:szCs w:val="32"/>
          <w:shd w:val="clear" w:color="auto" w:fill="FFFFFF"/>
        </w:rPr>
        <w:t>，主要原因是</w:t>
      </w:r>
      <w:r>
        <w:rPr>
          <w:rFonts w:hint="eastAsia" w:ascii="Times New Roman" w:hAnsi="Times New Roman" w:eastAsia="方正仿宋_GBK" w:cs="方正仿宋_GBK"/>
          <w:sz w:val="32"/>
          <w:szCs w:val="32"/>
          <w:shd w:val="clear" w:color="auto" w:fill="FFFFFF"/>
          <w:lang w:eastAsia="zh-CN"/>
        </w:rPr>
        <w:t>按规定组织职工培训产生培训费。</w:t>
      </w:r>
      <w:r>
        <w:rPr>
          <w:rFonts w:ascii="Times New Roman" w:hAnsi="Times New Roman" w:eastAsia="方正仿宋_GBK" w:cs="方正仿宋_GBK"/>
          <w:sz w:val="32"/>
          <w:szCs w:val="32"/>
          <w:shd w:val="clear" w:color="auto" w:fill="FFFFFF"/>
        </w:rPr>
        <w:t>本年度差旅费支出</w:t>
      </w:r>
      <w:r>
        <w:rPr>
          <w:rFonts w:hint="eastAsia" w:ascii="Times New Roman" w:hAnsi="Times New Roman" w:eastAsia="方正仿宋_GBK" w:cs="方正仿宋_GBK"/>
          <w:sz w:val="32"/>
          <w:szCs w:val="32"/>
          <w:shd w:val="clear" w:color="auto" w:fill="FFFFFF"/>
          <w:lang w:eastAsia="zh-CN"/>
        </w:rPr>
        <w:t>0万元</w:t>
      </w:r>
      <w:r>
        <w:rPr>
          <w:rFonts w:ascii="Times New Roman" w:hAnsi="Times New Roman" w:eastAsia="方正仿宋_GBK" w:cs="方正仿宋_GBK"/>
          <w:sz w:val="32"/>
          <w:szCs w:val="32"/>
          <w:shd w:val="clear" w:color="auto" w:fill="FFFFFF"/>
        </w:rPr>
        <w:t>，</w:t>
      </w:r>
      <w:r>
        <w:rPr>
          <w:rFonts w:hint="default" w:ascii="Times New Roman" w:hAnsi="Times New Roman" w:eastAsia="方正仿宋_GBK" w:cs="方正仿宋_GBK"/>
          <w:sz w:val="32"/>
          <w:szCs w:val="32"/>
          <w:shd w:val="clear" w:color="auto" w:fill="FFFFFF"/>
        </w:rPr>
        <w:t>与2023年度相比，减少0.05万元，下降100.0%</w:t>
      </w:r>
      <w:r>
        <w:rPr>
          <w:rFonts w:ascii="Times New Roman" w:hAnsi="Times New Roman" w:eastAsia="方正仿宋_GBK" w:cs="方正仿宋_GBK"/>
          <w:sz w:val="32"/>
          <w:szCs w:val="32"/>
          <w:shd w:val="clear" w:color="auto" w:fill="FFFFFF"/>
        </w:rPr>
        <w:t>，主要原因是</w:t>
      </w:r>
      <w:r>
        <w:rPr>
          <w:rFonts w:hint="eastAsia" w:ascii="Times New Roman" w:hAnsi="Times New Roman" w:eastAsia="方正仿宋_GBK" w:cs="方正仿宋_GBK"/>
          <w:sz w:val="32"/>
          <w:szCs w:val="32"/>
          <w:shd w:val="clear" w:color="auto" w:fill="FFFFFF"/>
          <w:lang w:eastAsia="zh-CN"/>
        </w:rPr>
        <w:t>严格控制差旅报销，确保实报实销</w:t>
      </w:r>
      <w:r>
        <w:rPr>
          <w:rFonts w:ascii="Times New Roman" w:hAnsi="Times New Roman" w:eastAsia="方正仿宋_GBK" w:cs="方正仿宋_GBK"/>
          <w:sz w:val="32"/>
          <w:szCs w:val="32"/>
          <w:shd w:val="clear" w:color="auto" w:fill="FFFFFF"/>
        </w:rPr>
        <w:t>。</w:t>
      </w:r>
    </w:p>
    <w:p>
      <w:pPr>
        <w:pStyle w:val="15"/>
        <w:keepNext w:val="0"/>
        <w:keepLines w:val="0"/>
        <w:pageBreakBefore w:val="0"/>
        <w:widowControl w:val="0"/>
        <w:kinsoku/>
        <w:wordWrap/>
        <w:overflowPunct/>
        <w:topLinePunct w:val="0"/>
        <w:autoSpaceDE w:val="0"/>
        <w:autoSpaceDN/>
        <w:bidi w:val="0"/>
        <w:adjustRightInd/>
        <w:snapToGrid/>
        <w:spacing w:beforeAutospacing="0" w:afterAutospacing="0" w:line="600" w:lineRule="exact"/>
        <w:ind w:firstLine="642" w:firstLineChars="200"/>
        <w:textAlignment w:val="auto"/>
        <w:rPr>
          <w:rFonts w:ascii="Times New Roman" w:hAnsi="Times New Roman" w:eastAsia="方正仿宋_GBK" w:cs="楷体"/>
          <w:b/>
          <w:bCs/>
          <w:sz w:val="32"/>
          <w:szCs w:val="32"/>
          <w:shd w:val="clear" w:color="auto" w:fill="FFFFFF"/>
        </w:rPr>
      </w:pPr>
      <w:r>
        <w:rPr>
          <w:rFonts w:hint="eastAsia" w:ascii="Times New Roman" w:hAnsi="Times New Roman" w:eastAsia="方正仿宋_GBK" w:cs="楷体"/>
          <w:b/>
          <w:bCs/>
          <w:sz w:val="32"/>
          <w:szCs w:val="32"/>
          <w:shd w:val="clear" w:color="auto" w:fill="FFFFFF"/>
        </w:rPr>
        <w:t>（二）机关运行经费情况说明</w:t>
      </w:r>
    </w:p>
    <w:p>
      <w:pPr>
        <w:pStyle w:val="10"/>
        <w:keepNext w:val="0"/>
        <w:keepLines w:val="0"/>
        <w:pageBreakBefore w:val="0"/>
        <w:widowControl w:val="0"/>
        <w:kinsoku/>
        <w:wordWrap/>
        <w:overflowPunct/>
        <w:topLinePunct w:val="0"/>
        <w:autoSpaceDN/>
        <w:bidi w:val="0"/>
        <w:adjustRightInd/>
        <w:snapToGrid w:val="0"/>
        <w:spacing w:before="0" w:beforeAutospacing="0" w:after="0" w:afterAutospacing="0" w:line="600" w:lineRule="exact"/>
        <w:ind w:firstLine="640" w:firstLineChars="200"/>
        <w:jc w:val="both"/>
        <w:textAlignment w:val="auto"/>
        <w:rPr>
          <w:rFonts w:hint="eastAsia" w:ascii="Times New Roman" w:hAnsi="Times New Roman" w:eastAsia="方正仿宋_GBK" w:cs="方正仿宋_GBK"/>
          <w:sz w:val="32"/>
          <w:szCs w:val="32"/>
          <w:shd w:val="clear" w:color="auto" w:fill="FFFFFF"/>
          <w:lang w:val="en-US" w:eastAsia="zh-CN"/>
        </w:rPr>
      </w:pPr>
      <w:r>
        <w:rPr>
          <w:rFonts w:hint="default" w:ascii="Times New Roman" w:hAnsi="Times New Roman" w:eastAsia="方正仿宋_GBK" w:cs="方正仿宋_GBK"/>
          <w:sz w:val="32"/>
          <w:szCs w:val="32"/>
          <w:shd w:val="clear" w:color="auto" w:fill="FFFFFF"/>
          <w:lang w:val="en-US" w:eastAsia="zh-CN"/>
        </w:rPr>
        <w:t>按照部门决算列报口径，我单位不在机关运行经费统计范围之内</w:t>
      </w:r>
      <w:r>
        <w:rPr>
          <w:rFonts w:hint="eastAsia" w:ascii="Times New Roman" w:hAnsi="Times New Roman" w:eastAsia="方正仿宋_GBK" w:cs="方正仿宋_GBK"/>
          <w:sz w:val="32"/>
          <w:szCs w:val="32"/>
          <w:shd w:val="clear" w:color="auto" w:fill="FFFFFF"/>
          <w:lang w:val="en-US" w:eastAsia="zh-CN"/>
        </w:rPr>
        <w:t>。</w:t>
      </w:r>
    </w:p>
    <w:p>
      <w:pPr>
        <w:pStyle w:val="15"/>
        <w:keepNext w:val="0"/>
        <w:keepLines w:val="0"/>
        <w:pageBreakBefore w:val="0"/>
        <w:widowControl w:val="0"/>
        <w:kinsoku/>
        <w:wordWrap/>
        <w:overflowPunct/>
        <w:topLinePunct w:val="0"/>
        <w:autoSpaceDE w:val="0"/>
        <w:autoSpaceDN/>
        <w:bidi w:val="0"/>
        <w:adjustRightInd/>
        <w:snapToGrid/>
        <w:spacing w:beforeAutospacing="0" w:afterAutospacing="0" w:line="600" w:lineRule="exact"/>
        <w:ind w:firstLine="642" w:firstLineChars="200"/>
        <w:textAlignment w:val="auto"/>
        <w:rPr>
          <w:rFonts w:ascii="Times New Roman" w:hAnsi="Times New Roman" w:eastAsia="方正仿宋_GBK" w:cs="楷体"/>
          <w:b/>
          <w:bCs/>
          <w:sz w:val="32"/>
          <w:szCs w:val="32"/>
          <w:shd w:val="clear" w:color="auto" w:fill="FFFFFF"/>
        </w:rPr>
      </w:pPr>
      <w:r>
        <w:rPr>
          <w:rFonts w:hint="eastAsia" w:ascii="Times New Roman" w:hAnsi="Times New Roman" w:eastAsia="方正仿宋_GBK" w:cs="楷体"/>
          <w:b/>
          <w:bCs/>
          <w:sz w:val="32"/>
          <w:szCs w:val="32"/>
          <w:shd w:val="clear" w:color="auto" w:fill="FFFFFF"/>
        </w:rPr>
        <w:t>（三）国有资产占用情况说明</w:t>
      </w:r>
    </w:p>
    <w:p>
      <w:pPr>
        <w:pStyle w:val="10"/>
        <w:keepNext w:val="0"/>
        <w:keepLines w:val="0"/>
        <w:pageBreakBefore w:val="0"/>
        <w:widowControl w:val="0"/>
        <w:kinsoku/>
        <w:wordWrap/>
        <w:overflowPunct/>
        <w:topLinePunct w:val="0"/>
        <w:autoSpaceDN/>
        <w:bidi w:val="0"/>
        <w:adjustRightInd/>
        <w:snapToGrid w:val="0"/>
        <w:spacing w:before="0" w:beforeAutospacing="0" w:after="0" w:afterAutospacing="0" w:line="600" w:lineRule="exact"/>
        <w:ind w:firstLine="640" w:firstLineChars="200"/>
        <w:jc w:val="both"/>
        <w:textAlignment w:val="auto"/>
        <w:rPr>
          <w:rFonts w:hint="default" w:ascii="Times New Roman" w:hAnsi="Times New Roman" w:eastAsia="方正仿宋_GBK" w:cs="方正仿宋_GBK"/>
          <w:sz w:val="32"/>
          <w:szCs w:val="32"/>
        </w:rPr>
      </w:pPr>
      <w:r>
        <w:rPr>
          <w:rFonts w:ascii="Times New Roman" w:hAnsi="Times New Roman" w:eastAsia="方正仿宋_GBK" w:cs="方正仿宋_GBK"/>
          <w:sz w:val="32"/>
          <w:szCs w:val="32"/>
          <w:shd w:val="clear" w:color="auto" w:fill="FFFFFF"/>
        </w:rPr>
        <w:t>截至</w:t>
      </w:r>
      <w:r>
        <w:rPr>
          <w:rFonts w:hint="default" w:ascii="Times New Roman" w:hAnsi="Times New Roman" w:eastAsia="方正仿宋_GBK"/>
          <w:sz w:val="32"/>
          <w:szCs w:val="32"/>
          <w:shd w:val="clear" w:color="auto" w:fill="FFFFFF"/>
        </w:rPr>
        <w:t>2024</w:t>
      </w:r>
      <w:r>
        <w:rPr>
          <w:rFonts w:ascii="Times New Roman" w:hAnsi="Times New Roman" w:eastAsia="方正仿宋_GBK" w:cs="方正仿宋_GBK"/>
          <w:sz w:val="32"/>
          <w:szCs w:val="32"/>
          <w:shd w:val="clear" w:color="auto" w:fill="FFFFFF"/>
        </w:rPr>
        <w:t>年</w:t>
      </w:r>
      <w:r>
        <w:rPr>
          <w:rFonts w:hint="default" w:ascii="Times New Roman" w:hAnsi="Times New Roman" w:eastAsia="方正仿宋_GBK"/>
          <w:sz w:val="32"/>
          <w:szCs w:val="32"/>
          <w:shd w:val="clear" w:color="auto" w:fill="FFFFFF"/>
        </w:rPr>
        <w:t>12</w:t>
      </w:r>
      <w:r>
        <w:rPr>
          <w:rFonts w:ascii="Times New Roman" w:hAnsi="Times New Roman" w:eastAsia="方正仿宋_GBK" w:cs="方正仿宋_GBK"/>
          <w:sz w:val="32"/>
          <w:szCs w:val="32"/>
          <w:shd w:val="clear" w:color="auto" w:fill="FFFFFF"/>
        </w:rPr>
        <w:t>月</w:t>
      </w:r>
      <w:r>
        <w:rPr>
          <w:rFonts w:hint="default" w:ascii="Times New Roman" w:hAnsi="Times New Roman" w:eastAsia="方正仿宋_GBK"/>
          <w:sz w:val="32"/>
          <w:szCs w:val="32"/>
          <w:shd w:val="clear" w:color="auto" w:fill="FFFFFF"/>
        </w:rPr>
        <w:t>31</w:t>
      </w:r>
      <w:r>
        <w:rPr>
          <w:rFonts w:ascii="Times New Roman" w:hAnsi="Times New Roman" w:eastAsia="方正仿宋_GBK" w:cs="方正仿宋_GBK"/>
          <w:sz w:val="32"/>
          <w:szCs w:val="32"/>
          <w:shd w:val="clear" w:color="auto" w:fill="FFFFFF"/>
        </w:rPr>
        <w:t>日，本部门共有车辆</w:t>
      </w:r>
      <w:r>
        <w:rPr>
          <w:rFonts w:hint="default" w:ascii="Times New Roman" w:hAnsi="Times New Roman" w:eastAsia="方正仿宋_GBK"/>
          <w:sz w:val="32"/>
          <w:szCs w:val="32"/>
          <w:shd w:val="clear" w:color="auto" w:fill="FFFFFF"/>
        </w:rPr>
        <w:t>0</w:t>
      </w:r>
      <w:r>
        <w:rPr>
          <w:rFonts w:ascii="Times New Roman" w:hAnsi="Times New Roman" w:eastAsia="方正仿宋_GBK" w:cs="方正仿宋_GBK"/>
          <w:sz w:val="32"/>
          <w:szCs w:val="32"/>
          <w:shd w:val="clear" w:color="auto" w:fill="FFFFFF"/>
        </w:rPr>
        <w:t>辆，其中，副部（省）级及以上领导用车</w:t>
      </w:r>
      <w:r>
        <w:rPr>
          <w:rFonts w:hint="default" w:ascii="Times New Roman" w:hAnsi="Times New Roman" w:eastAsia="方正仿宋_GBK"/>
          <w:sz w:val="32"/>
          <w:szCs w:val="32"/>
          <w:shd w:val="clear" w:color="auto" w:fill="FFFFFF"/>
        </w:rPr>
        <w:t>0</w:t>
      </w:r>
      <w:r>
        <w:rPr>
          <w:rFonts w:ascii="Times New Roman" w:hAnsi="Times New Roman" w:eastAsia="方正仿宋_GBK" w:cs="方正仿宋_GBK"/>
          <w:sz w:val="32"/>
          <w:szCs w:val="32"/>
          <w:shd w:val="clear" w:color="auto" w:fill="FFFFFF"/>
        </w:rPr>
        <w:t>辆、主要负责人用车</w:t>
      </w:r>
      <w:r>
        <w:rPr>
          <w:rFonts w:hint="default" w:ascii="Times New Roman" w:hAnsi="Times New Roman" w:eastAsia="方正仿宋_GBK"/>
          <w:sz w:val="32"/>
          <w:szCs w:val="32"/>
          <w:shd w:val="clear" w:color="auto" w:fill="FFFFFF"/>
        </w:rPr>
        <w:t>0</w:t>
      </w:r>
      <w:r>
        <w:rPr>
          <w:rFonts w:ascii="Times New Roman" w:hAnsi="Times New Roman" w:eastAsia="方正仿宋_GBK" w:cs="方正仿宋_GBK"/>
          <w:sz w:val="32"/>
          <w:szCs w:val="32"/>
          <w:shd w:val="clear" w:color="auto" w:fill="FFFFFF"/>
        </w:rPr>
        <w:t>辆、机要通信用车</w:t>
      </w:r>
      <w:r>
        <w:rPr>
          <w:rFonts w:hint="default" w:ascii="Times New Roman" w:hAnsi="Times New Roman" w:eastAsia="方正仿宋_GBK"/>
          <w:sz w:val="32"/>
          <w:szCs w:val="32"/>
          <w:shd w:val="clear" w:color="auto" w:fill="FFFFFF"/>
        </w:rPr>
        <w:t>0</w:t>
      </w:r>
      <w:r>
        <w:rPr>
          <w:rFonts w:ascii="Times New Roman" w:hAnsi="Times New Roman" w:eastAsia="方正仿宋_GBK" w:cs="方正仿宋_GBK"/>
          <w:sz w:val="32"/>
          <w:szCs w:val="32"/>
          <w:shd w:val="clear" w:color="auto" w:fill="FFFFFF"/>
        </w:rPr>
        <w:t>辆、应急保障用车</w:t>
      </w:r>
      <w:r>
        <w:rPr>
          <w:rFonts w:hint="default" w:ascii="Times New Roman" w:hAnsi="Times New Roman" w:eastAsia="方正仿宋_GBK"/>
          <w:sz w:val="32"/>
          <w:szCs w:val="32"/>
          <w:shd w:val="clear" w:color="auto" w:fill="FFFFFF"/>
        </w:rPr>
        <w:t>0</w:t>
      </w:r>
      <w:r>
        <w:rPr>
          <w:rFonts w:ascii="Times New Roman" w:hAnsi="Times New Roman" w:eastAsia="方正仿宋_GBK" w:cs="方正仿宋_GBK"/>
          <w:sz w:val="32"/>
          <w:szCs w:val="32"/>
          <w:shd w:val="clear" w:color="auto" w:fill="FFFFFF"/>
        </w:rPr>
        <w:t>辆、执法执勤用车</w:t>
      </w:r>
      <w:r>
        <w:rPr>
          <w:rFonts w:hint="default" w:ascii="Times New Roman" w:hAnsi="Times New Roman" w:eastAsia="方正仿宋_GBK"/>
          <w:sz w:val="32"/>
          <w:szCs w:val="32"/>
          <w:shd w:val="clear" w:color="auto" w:fill="FFFFFF"/>
        </w:rPr>
        <w:t>0</w:t>
      </w:r>
      <w:r>
        <w:rPr>
          <w:rFonts w:ascii="Times New Roman" w:hAnsi="Times New Roman" w:eastAsia="方正仿宋_GBK" w:cs="方正仿宋_GBK"/>
          <w:sz w:val="32"/>
          <w:szCs w:val="32"/>
          <w:shd w:val="clear" w:color="auto" w:fill="FFFFFF"/>
        </w:rPr>
        <w:t>辆，特种专业技术用车</w:t>
      </w:r>
      <w:r>
        <w:rPr>
          <w:rFonts w:hint="default" w:ascii="Times New Roman" w:hAnsi="Times New Roman" w:eastAsia="方正仿宋_GBK"/>
          <w:sz w:val="32"/>
          <w:szCs w:val="32"/>
          <w:shd w:val="clear" w:color="auto" w:fill="FFFFFF"/>
        </w:rPr>
        <w:t>0</w:t>
      </w:r>
      <w:r>
        <w:rPr>
          <w:rFonts w:ascii="Times New Roman" w:hAnsi="Times New Roman" w:eastAsia="方正仿宋_GBK" w:cs="方正仿宋_GBK"/>
          <w:sz w:val="32"/>
          <w:szCs w:val="32"/>
          <w:shd w:val="clear" w:color="auto" w:fill="FFFFFF"/>
        </w:rPr>
        <w:t>辆，离退休干部用车</w:t>
      </w:r>
      <w:r>
        <w:rPr>
          <w:rFonts w:hint="default" w:ascii="Times New Roman" w:hAnsi="Times New Roman" w:eastAsia="方正仿宋_GBK"/>
          <w:sz w:val="32"/>
          <w:szCs w:val="32"/>
          <w:shd w:val="clear" w:color="auto" w:fill="FFFFFF"/>
        </w:rPr>
        <w:t>0</w:t>
      </w:r>
      <w:r>
        <w:rPr>
          <w:rFonts w:ascii="Times New Roman" w:hAnsi="Times New Roman" w:eastAsia="方正仿宋_GBK" w:cs="方正仿宋_GBK"/>
          <w:sz w:val="32"/>
          <w:szCs w:val="32"/>
          <w:shd w:val="clear" w:color="auto" w:fill="FFFFFF"/>
        </w:rPr>
        <w:t>辆。单价</w:t>
      </w:r>
      <w:r>
        <w:rPr>
          <w:rFonts w:hint="default" w:ascii="Times New Roman" w:hAnsi="Times New Roman" w:eastAsia="方正仿宋_GBK"/>
          <w:sz w:val="32"/>
          <w:szCs w:val="32"/>
          <w:shd w:val="clear" w:color="auto" w:fill="FFFFFF"/>
        </w:rPr>
        <w:t>100</w:t>
      </w:r>
      <w:r>
        <w:rPr>
          <w:rFonts w:ascii="Times New Roman" w:hAnsi="Times New Roman" w:eastAsia="方正仿宋_GBK" w:cs="方正仿宋_GBK"/>
          <w:sz w:val="32"/>
          <w:szCs w:val="32"/>
          <w:shd w:val="clear" w:color="auto" w:fill="FFFFFF"/>
        </w:rPr>
        <w:t>万元（含）以上专用设备</w:t>
      </w:r>
      <w:r>
        <w:rPr>
          <w:rFonts w:hint="default" w:ascii="Times New Roman" w:hAnsi="Times New Roman" w:eastAsia="方正仿宋_GBK"/>
          <w:sz w:val="32"/>
          <w:szCs w:val="32"/>
          <w:shd w:val="clear" w:color="auto" w:fill="FFFFFF"/>
        </w:rPr>
        <w:t>0</w:t>
      </w:r>
      <w:r>
        <w:rPr>
          <w:rFonts w:ascii="Times New Roman" w:hAnsi="Times New Roman" w:eastAsia="方正仿宋_GBK" w:cs="方正仿宋_GBK"/>
          <w:sz w:val="32"/>
          <w:szCs w:val="32"/>
          <w:shd w:val="clear" w:color="auto" w:fill="FFFFFF"/>
        </w:rPr>
        <w:t>台（套）。</w:t>
      </w:r>
    </w:p>
    <w:p>
      <w:pPr>
        <w:pStyle w:val="15"/>
        <w:keepNext w:val="0"/>
        <w:keepLines w:val="0"/>
        <w:pageBreakBefore w:val="0"/>
        <w:widowControl w:val="0"/>
        <w:kinsoku/>
        <w:wordWrap/>
        <w:overflowPunct/>
        <w:topLinePunct w:val="0"/>
        <w:autoSpaceDE w:val="0"/>
        <w:autoSpaceDN/>
        <w:bidi w:val="0"/>
        <w:adjustRightInd/>
        <w:snapToGrid/>
        <w:spacing w:beforeAutospacing="0" w:afterAutospacing="0" w:line="600" w:lineRule="exact"/>
        <w:ind w:firstLine="642" w:firstLineChars="200"/>
        <w:textAlignment w:val="auto"/>
        <w:rPr>
          <w:rFonts w:ascii="Times New Roman" w:hAnsi="Times New Roman" w:eastAsia="方正仿宋_GBK" w:cs="楷体"/>
          <w:b/>
          <w:bCs/>
          <w:sz w:val="32"/>
          <w:szCs w:val="32"/>
          <w:shd w:val="clear" w:color="auto" w:fill="FFFFFF"/>
        </w:rPr>
      </w:pPr>
      <w:r>
        <w:rPr>
          <w:rFonts w:hint="eastAsia" w:ascii="Times New Roman" w:hAnsi="Times New Roman" w:eastAsia="方正仿宋_GBK" w:cs="楷体"/>
          <w:b/>
          <w:bCs/>
          <w:sz w:val="32"/>
          <w:szCs w:val="32"/>
          <w:shd w:val="clear" w:color="auto" w:fill="FFFFFF"/>
        </w:rPr>
        <w:t>（四）政府采购支出情况说明</w:t>
      </w:r>
    </w:p>
    <w:p>
      <w:pPr>
        <w:pStyle w:val="10"/>
        <w:keepNext w:val="0"/>
        <w:keepLines w:val="0"/>
        <w:pageBreakBefore w:val="0"/>
        <w:widowControl w:val="0"/>
        <w:kinsoku/>
        <w:wordWrap/>
        <w:overflowPunct/>
        <w:topLinePunct w:val="0"/>
        <w:autoSpaceDN/>
        <w:bidi w:val="0"/>
        <w:adjustRightInd/>
        <w:snapToGrid w:val="0"/>
        <w:spacing w:before="0" w:beforeAutospacing="0" w:after="0" w:afterAutospacing="0" w:line="600" w:lineRule="exact"/>
        <w:ind w:firstLine="640" w:firstLineChars="200"/>
        <w:jc w:val="both"/>
        <w:textAlignment w:val="auto"/>
        <w:rPr>
          <w:rFonts w:hint="eastAsia" w:ascii="Times New Roman" w:hAnsi="Times New Roman" w:eastAsia="方正仿宋_GBK" w:cs="方正仿宋_GBK"/>
          <w:sz w:val="32"/>
          <w:szCs w:val="32"/>
          <w:shd w:val="clear" w:color="auto" w:fill="FFFFFF"/>
          <w:lang w:val="en-US" w:eastAsia="zh-CN"/>
        </w:rPr>
        <w:sectPr>
          <w:footerReference r:id="rId3" w:type="default"/>
          <w:pgSz w:w="11915" w:h="16840"/>
          <w:pgMar w:top="1440" w:right="1800" w:bottom="1440" w:left="1800" w:header="851" w:footer="992" w:gutter="0"/>
          <w:pgNumType w:fmt="numberInDash"/>
          <w:cols w:space="720" w:num="1"/>
          <w:docGrid w:type="lines" w:linePitch="312" w:charSpace="0"/>
        </w:sectPr>
      </w:pPr>
      <w:r>
        <w:rPr>
          <w:rFonts w:ascii="Times New Roman" w:hAnsi="Times New Roman" w:eastAsia="方正仿宋_GBK" w:cs="方正仿宋_GBK"/>
          <w:sz w:val="32"/>
          <w:szCs w:val="32"/>
          <w:shd w:val="clear" w:color="auto" w:fill="FFFFFF"/>
        </w:rPr>
        <w:t>2024年度我</w:t>
      </w:r>
      <w:r>
        <w:rPr>
          <w:rFonts w:hint="eastAsia" w:ascii="Times New Roman" w:hAnsi="Times New Roman" w:eastAsia="方正仿宋_GBK" w:cs="方正仿宋_GBK"/>
          <w:sz w:val="32"/>
          <w:szCs w:val="32"/>
          <w:shd w:val="clear" w:color="auto" w:fill="FFFFFF"/>
        </w:rPr>
        <w:t>部门</w:t>
      </w:r>
      <w:r>
        <w:rPr>
          <w:rFonts w:ascii="Times New Roman" w:hAnsi="Times New Roman" w:eastAsia="方正仿宋_GBK" w:cs="方正仿宋_GBK"/>
          <w:sz w:val="32"/>
          <w:szCs w:val="32"/>
          <w:shd w:val="clear" w:color="auto" w:fill="FFFFFF"/>
        </w:rPr>
        <w:t>未发生政府采购事项，无相关经费支出。</w:t>
      </w:r>
    </w:p>
    <w:p>
      <w:pPr>
        <w:pStyle w:val="16"/>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2" w:firstLineChars="200"/>
        <w:textAlignment w:val="auto"/>
        <w:rPr>
          <w:rStyle w:val="14"/>
          <w:rFonts w:hint="eastAsia" w:ascii="Times New Roman" w:hAnsi="Times New Roman" w:eastAsia="方正仿宋_GBK" w:cs="黑体"/>
          <w:sz w:val="32"/>
          <w:szCs w:val="32"/>
          <w:shd w:val="clear" w:color="auto" w:fill="FFFFFF"/>
          <w:lang w:val="en-US" w:eastAsia="zh-CN" w:bidi="ar-SA"/>
        </w:rPr>
      </w:pPr>
      <w:r>
        <w:rPr>
          <w:rStyle w:val="14"/>
          <w:rFonts w:hint="eastAsia" w:ascii="Times New Roman" w:hAnsi="Times New Roman" w:eastAsia="方正仿宋_GBK" w:cs="黑体"/>
          <w:sz w:val="32"/>
          <w:szCs w:val="32"/>
          <w:shd w:val="clear" w:color="auto" w:fill="FFFFFF"/>
          <w:lang w:val="en-US" w:eastAsia="zh-CN" w:bidi="ar-SA"/>
        </w:rPr>
        <w:t>五、2024年度预算绩效管理情况说明</w:t>
      </w:r>
    </w:p>
    <w:p>
      <w:pPr>
        <w:pStyle w:val="15"/>
        <w:keepNext w:val="0"/>
        <w:keepLines w:val="0"/>
        <w:pageBreakBefore w:val="0"/>
        <w:widowControl w:val="0"/>
        <w:kinsoku/>
        <w:wordWrap/>
        <w:overflowPunct/>
        <w:topLinePunct w:val="0"/>
        <w:autoSpaceDE w:val="0"/>
        <w:autoSpaceDN/>
        <w:bidi w:val="0"/>
        <w:adjustRightInd/>
        <w:spacing w:beforeAutospacing="0" w:afterAutospacing="0" w:line="600" w:lineRule="exact"/>
        <w:ind w:firstLine="643"/>
        <w:textAlignment w:val="auto"/>
        <w:rPr>
          <w:rFonts w:ascii="Times New Roman" w:hAnsi="Times New Roman" w:eastAsia="方正仿宋_GBK" w:cs="楷体"/>
          <w:b/>
          <w:bCs/>
          <w:sz w:val="32"/>
          <w:szCs w:val="32"/>
          <w:shd w:val="clear" w:color="auto" w:fill="FFFFFF"/>
        </w:rPr>
      </w:pPr>
      <w:r>
        <w:rPr>
          <w:rFonts w:hint="eastAsia" w:ascii="Times New Roman" w:hAnsi="Times New Roman" w:eastAsia="方正仿宋_GBK" w:cs="楷体"/>
          <w:b/>
          <w:bCs/>
          <w:sz w:val="32"/>
          <w:szCs w:val="32"/>
          <w:shd w:val="clear" w:color="auto" w:fill="FFFFFF"/>
        </w:rPr>
        <w:t>（一）单位自评情况</w:t>
      </w:r>
    </w:p>
    <w:p>
      <w:pPr>
        <w:pStyle w:val="16"/>
        <w:keepNext w:val="0"/>
        <w:keepLines w:val="0"/>
        <w:pageBreakBefore w:val="0"/>
        <w:widowControl w:val="0"/>
        <w:kinsoku/>
        <w:wordWrap/>
        <w:overflowPunct/>
        <w:topLinePunct w:val="0"/>
        <w:autoSpaceDE w:val="0"/>
        <w:autoSpaceDN/>
        <w:bidi w:val="0"/>
        <w:adjustRightInd/>
        <w:spacing w:before="0" w:beforeAutospacing="0" w:afterAutospacing="0" w:line="600" w:lineRule="exact"/>
        <w:ind w:firstLine="640" w:firstLineChars="200"/>
        <w:textAlignment w:val="auto"/>
        <w:rPr>
          <w:rFonts w:hint="eastAsia" w:ascii="Times New Roman" w:hAnsi="Times New Roman" w:eastAsia="方正仿宋_GBK" w:cs="方正仿宋_GBK"/>
          <w:sz w:val="32"/>
          <w:szCs w:val="32"/>
          <w:shd w:val="clear" w:color="auto" w:fill="FFFFFF"/>
          <w:lang w:val="en-US" w:eastAsia="zh-CN" w:bidi="ar-SA"/>
        </w:rPr>
      </w:pPr>
      <w:r>
        <w:rPr>
          <w:rFonts w:hint="eastAsia" w:ascii="Times New Roman" w:hAnsi="Times New Roman" w:eastAsia="方正仿宋_GBK" w:cs="方正仿宋_GBK"/>
          <w:sz w:val="32"/>
          <w:szCs w:val="32"/>
          <w:shd w:val="clear" w:color="auto" w:fill="FFFFFF"/>
          <w:lang w:val="en-US" w:eastAsia="zh-CN" w:bidi="ar-SA"/>
        </w:rPr>
        <w:t>我单位无财政拨款项目支出。</w:t>
      </w:r>
    </w:p>
    <w:p>
      <w:pPr>
        <w:pStyle w:val="15"/>
        <w:keepNext w:val="0"/>
        <w:keepLines w:val="0"/>
        <w:pageBreakBefore w:val="0"/>
        <w:widowControl w:val="0"/>
        <w:kinsoku/>
        <w:wordWrap/>
        <w:overflowPunct/>
        <w:topLinePunct w:val="0"/>
        <w:autoSpaceDE w:val="0"/>
        <w:autoSpaceDN/>
        <w:bidi w:val="0"/>
        <w:adjustRightInd/>
        <w:spacing w:beforeAutospacing="0" w:afterAutospacing="0" w:line="600" w:lineRule="exact"/>
        <w:ind w:firstLine="643"/>
        <w:textAlignment w:val="auto"/>
        <w:rPr>
          <w:rFonts w:ascii="Times New Roman" w:hAnsi="Times New Roman" w:eastAsia="方正仿宋_GBK" w:cs="楷体"/>
          <w:b/>
          <w:bCs/>
          <w:sz w:val="32"/>
          <w:szCs w:val="32"/>
          <w:shd w:val="clear" w:color="auto" w:fill="FFFFFF"/>
        </w:rPr>
      </w:pPr>
      <w:r>
        <w:rPr>
          <w:rFonts w:hint="eastAsia" w:ascii="Times New Roman" w:hAnsi="Times New Roman" w:eastAsia="方正仿宋_GBK" w:cs="楷体"/>
          <w:b/>
          <w:bCs/>
          <w:sz w:val="32"/>
          <w:szCs w:val="32"/>
          <w:shd w:val="clear" w:color="auto" w:fill="FFFFFF"/>
        </w:rPr>
        <w:t>（二）单位绩效评价情况</w:t>
      </w:r>
    </w:p>
    <w:p>
      <w:pPr>
        <w:pStyle w:val="15"/>
        <w:keepNext w:val="0"/>
        <w:keepLines w:val="0"/>
        <w:pageBreakBefore w:val="0"/>
        <w:widowControl w:val="0"/>
        <w:kinsoku/>
        <w:wordWrap/>
        <w:overflowPunct/>
        <w:topLinePunct w:val="0"/>
        <w:autoSpaceDE w:val="0"/>
        <w:autoSpaceDN/>
        <w:bidi w:val="0"/>
        <w:adjustRightInd/>
        <w:spacing w:beforeAutospacing="0" w:afterAutospacing="0" w:line="600" w:lineRule="exact"/>
        <w:ind w:firstLine="643"/>
        <w:textAlignment w:val="auto"/>
        <w:rPr>
          <w:rFonts w:hint="eastAsia" w:ascii="Times New Roman" w:hAnsi="Times New Roman" w:eastAsia="方正仿宋_GBK" w:cs="方正仿宋_GBK"/>
          <w:sz w:val="32"/>
          <w:szCs w:val="32"/>
          <w:shd w:val="clear" w:color="auto" w:fill="FFFFFF"/>
          <w:lang w:val="en-US" w:eastAsia="zh-CN" w:bidi="ar-SA"/>
        </w:rPr>
      </w:pPr>
      <w:r>
        <w:rPr>
          <w:rFonts w:hint="eastAsia" w:ascii="Times New Roman" w:hAnsi="Times New Roman" w:eastAsia="方正仿宋_GBK" w:cs="方正仿宋_GBK"/>
          <w:sz w:val="32"/>
          <w:szCs w:val="32"/>
          <w:shd w:val="clear" w:color="auto" w:fill="FFFFFF"/>
          <w:lang w:val="en-US" w:eastAsia="zh-CN" w:bidi="ar-SA"/>
        </w:rPr>
        <w:t>我单位未组织开展绩效评价。</w:t>
      </w:r>
    </w:p>
    <w:p>
      <w:pPr>
        <w:pStyle w:val="15"/>
        <w:keepNext w:val="0"/>
        <w:keepLines w:val="0"/>
        <w:pageBreakBefore w:val="0"/>
        <w:widowControl w:val="0"/>
        <w:kinsoku/>
        <w:wordWrap/>
        <w:overflowPunct/>
        <w:topLinePunct w:val="0"/>
        <w:autoSpaceDE w:val="0"/>
        <w:autoSpaceDN/>
        <w:bidi w:val="0"/>
        <w:adjustRightInd/>
        <w:spacing w:beforeAutospacing="0" w:afterAutospacing="0" w:line="600" w:lineRule="exact"/>
        <w:ind w:firstLine="643"/>
        <w:textAlignment w:val="auto"/>
        <w:rPr>
          <w:rFonts w:ascii="Times New Roman" w:hAnsi="Times New Roman" w:eastAsia="方正仿宋_GBK" w:cs="楷体"/>
          <w:b/>
          <w:bCs/>
          <w:sz w:val="32"/>
          <w:szCs w:val="32"/>
          <w:shd w:val="clear" w:color="auto" w:fill="FFFFFF"/>
        </w:rPr>
      </w:pPr>
      <w:r>
        <w:rPr>
          <w:rFonts w:hint="eastAsia" w:ascii="Times New Roman" w:hAnsi="Times New Roman" w:eastAsia="方正仿宋_GBK" w:cs="楷体"/>
          <w:b/>
          <w:bCs/>
          <w:sz w:val="32"/>
          <w:szCs w:val="32"/>
          <w:shd w:val="clear" w:color="auto" w:fill="FFFFFF"/>
        </w:rPr>
        <w:t>（三）财政绩效评价情况</w:t>
      </w:r>
    </w:p>
    <w:p>
      <w:pPr>
        <w:pStyle w:val="15"/>
        <w:keepNext w:val="0"/>
        <w:keepLines w:val="0"/>
        <w:pageBreakBefore w:val="0"/>
        <w:widowControl w:val="0"/>
        <w:kinsoku/>
        <w:wordWrap/>
        <w:overflowPunct/>
        <w:topLinePunct w:val="0"/>
        <w:autoSpaceDE w:val="0"/>
        <w:autoSpaceDN/>
        <w:bidi w:val="0"/>
        <w:adjustRightInd/>
        <w:spacing w:beforeAutospacing="0" w:afterAutospacing="0" w:line="600" w:lineRule="exact"/>
        <w:ind w:firstLine="643"/>
        <w:textAlignment w:val="auto"/>
        <w:rPr>
          <w:rFonts w:hint="eastAsia" w:ascii="Times New Roman" w:hAnsi="Times New Roman" w:eastAsia="方正仿宋_GBK" w:cs="方正仿宋_GBK"/>
          <w:sz w:val="32"/>
          <w:szCs w:val="32"/>
          <w:shd w:val="clear" w:color="auto" w:fill="FFFFFF"/>
          <w:lang w:val="en-US" w:eastAsia="zh-CN" w:bidi="ar-SA"/>
        </w:rPr>
      </w:pPr>
      <w:r>
        <w:rPr>
          <w:rFonts w:hint="eastAsia" w:ascii="Times New Roman" w:hAnsi="Times New Roman" w:eastAsia="方正仿宋_GBK" w:cs="方正仿宋_GBK"/>
          <w:sz w:val="32"/>
          <w:szCs w:val="32"/>
          <w:shd w:val="clear" w:color="auto" w:fill="FFFFFF"/>
          <w:lang w:val="en-US" w:eastAsia="zh-CN" w:bidi="ar-SA"/>
        </w:rPr>
        <w:t>区财政局未委托第三方对我单位开展绩效评价。</w:t>
      </w:r>
    </w:p>
    <w:p>
      <w:pPr>
        <w:pStyle w:val="16"/>
        <w:keepNext w:val="0"/>
        <w:keepLines w:val="0"/>
        <w:pageBreakBefore w:val="0"/>
        <w:widowControl w:val="0"/>
        <w:kinsoku/>
        <w:wordWrap/>
        <w:overflowPunct/>
        <w:topLinePunct w:val="0"/>
        <w:autoSpaceDE w:val="0"/>
        <w:autoSpaceDN/>
        <w:bidi w:val="0"/>
        <w:adjustRightInd/>
        <w:snapToGrid/>
        <w:spacing w:before="0" w:beforeAutospacing="0" w:after="0" w:afterAutospacing="0" w:line="600" w:lineRule="exact"/>
        <w:textAlignment w:val="auto"/>
        <w:rPr>
          <w:rFonts w:hint="eastAsia" w:ascii="Times New Roman" w:hAnsi="Times New Roman" w:eastAsia="方正仿宋_GBK" w:cs="方正仿宋_GBK"/>
          <w:kern w:val="0"/>
          <w:sz w:val="32"/>
          <w:szCs w:val="32"/>
        </w:rPr>
      </w:pPr>
      <w:r>
        <w:rPr>
          <w:rStyle w:val="17"/>
          <w:rFonts w:hint="eastAsia" w:ascii="Times New Roman" w:hAnsi="Times New Roman" w:eastAsia="方正仿宋_GBK" w:cs="方正仿宋_GBK"/>
          <w:b/>
          <w:bCs/>
          <w:sz w:val="32"/>
          <w:szCs w:val="32"/>
          <w:shd w:val="clear" w:fill="FFFFFF"/>
        </w:rPr>
        <w:t xml:space="preserve"> </w:t>
      </w:r>
      <w:r>
        <w:rPr>
          <w:rStyle w:val="17"/>
          <w:rFonts w:hint="eastAsia" w:ascii="Times New Roman" w:hAnsi="Times New Roman" w:eastAsia="方正仿宋_GBK" w:cs="方正仿宋_GBK"/>
          <w:b/>
          <w:bCs/>
          <w:sz w:val="32"/>
          <w:szCs w:val="32"/>
          <w:shd w:val="clear" w:fill="FFFFFF"/>
          <w:lang w:val="en-US" w:eastAsia="zh-CN"/>
        </w:rPr>
        <w:t xml:space="preserve">  </w:t>
      </w:r>
      <w:r>
        <w:rPr>
          <w:rStyle w:val="14"/>
          <w:rFonts w:hint="eastAsia" w:ascii="Times New Roman" w:hAnsi="Times New Roman" w:eastAsia="方正仿宋_GBK" w:cs="黑体"/>
          <w:sz w:val="32"/>
          <w:szCs w:val="32"/>
          <w:shd w:val="clear" w:color="auto" w:fill="FFFFFF"/>
          <w:lang w:val="en-US" w:eastAsia="zh-CN" w:bidi="ar-SA"/>
        </w:rPr>
        <w:t xml:space="preserve"> 六、专业名词解释</w:t>
      </w:r>
    </w:p>
    <w:p>
      <w:pPr>
        <w:pStyle w:val="16"/>
        <w:keepNext w:val="0"/>
        <w:keepLines w:val="0"/>
        <w:pageBreakBefore w:val="0"/>
        <w:widowControl w:val="0"/>
        <w:kinsoku/>
        <w:wordWrap/>
        <w:overflowPunct/>
        <w:topLinePunct w:val="0"/>
        <w:autoSpaceDN/>
        <w:bidi w:val="0"/>
        <w:adjustRightInd/>
        <w:snapToGrid/>
        <w:spacing w:before="0" w:beforeAutospacing="0" w:after="0" w:afterAutospacing="0" w:line="600" w:lineRule="exact"/>
        <w:ind w:firstLine="642" w:firstLineChars="200"/>
        <w:textAlignment w:val="auto"/>
        <w:rPr>
          <w:rFonts w:hint="eastAsia" w:ascii="Times New Roman" w:hAnsi="Times New Roman" w:eastAsia="方正仿宋_GBK" w:cs="方正仿宋_GBK"/>
          <w:kern w:val="0"/>
          <w:sz w:val="32"/>
          <w:szCs w:val="32"/>
        </w:rPr>
      </w:pPr>
      <w:r>
        <w:rPr>
          <w:rStyle w:val="14"/>
          <w:rFonts w:hint="eastAsia" w:ascii="Times New Roman" w:hAnsi="Times New Roman" w:eastAsia="方正仿宋_GBK" w:cs="楷体"/>
          <w:sz w:val="32"/>
          <w:szCs w:val="32"/>
          <w:shd w:val="clear" w:color="auto" w:fill="FFFFFF"/>
          <w:lang w:val="en-US" w:eastAsia="zh-CN" w:bidi="ar-SA"/>
        </w:rPr>
        <w:t>（一）财政拨款收入：</w:t>
      </w:r>
      <w:r>
        <w:rPr>
          <w:rFonts w:hint="eastAsia" w:ascii="Times New Roman" w:hAnsi="Times New Roman" w:eastAsia="方正仿宋_GBK" w:cs="方正仿宋_GBK"/>
          <w:kern w:val="0"/>
          <w:sz w:val="32"/>
          <w:szCs w:val="32"/>
          <w:shd w:val="clear" w:fill="FFFFFF"/>
        </w:rPr>
        <w:t>指本年度从本级财政部门取得的财政拨款，包括一般公共预算财政拨款和政府性基金预算财政拨款。</w:t>
      </w:r>
    </w:p>
    <w:p>
      <w:pPr>
        <w:pStyle w:val="16"/>
        <w:keepNext w:val="0"/>
        <w:keepLines w:val="0"/>
        <w:pageBreakBefore w:val="0"/>
        <w:widowControl w:val="0"/>
        <w:kinsoku/>
        <w:wordWrap/>
        <w:overflowPunct/>
        <w:topLinePunct w:val="0"/>
        <w:autoSpaceDN/>
        <w:bidi w:val="0"/>
        <w:adjustRightInd/>
        <w:snapToGrid/>
        <w:spacing w:before="0" w:beforeAutospacing="0" w:after="0" w:afterAutospacing="0" w:line="600" w:lineRule="exact"/>
        <w:ind w:firstLine="642" w:firstLineChars="200"/>
        <w:textAlignment w:val="auto"/>
        <w:rPr>
          <w:rFonts w:hint="eastAsia" w:ascii="Times New Roman" w:hAnsi="Times New Roman" w:eastAsia="方正仿宋_GBK" w:cs="方正仿宋_GBK"/>
          <w:kern w:val="0"/>
          <w:sz w:val="32"/>
          <w:szCs w:val="32"/>
        </w:rPr>
      </w:pPr>
      <w:r>
        <w:rPr>
          <w:rStyle w:val="14"/>
          <w:rFonts w:hint="eastAsia" w:ascii="Times New Roman" w:hAnsi="Times New Roman" w:eastAsia="方正仿宋_GBK" w:cs="楷体"/>
          <w:sz w:val="32"/>
          <w:szCs w:val="32"/>
          <w:shd w:val="clear" w:color="auto" w:fill="FFFFFF"/>
          <w:lang w:val="en-US" w:eastAsia="zh-CN" w:bidi="ar-SA"/>
        </w:rPr>
        <w:t>（二）事业收入：</w:t>
      </w:r>
      <w:r>
        <w:rPr>
          <w:rFonts w:hint="eastAsia" w:ascii="Times New Roman" w:hAnsi="Times New Roman" w:eastAsia="方正仿宋_GBK" w:cs="方正仿宋_GBK"/>
          <w:kern w:val="0"/>
          <w:sz w:val="32"/>
          <w:szCs w:val="32"/>
          <w:shd w:val="clear" w:fill="FFFFFF"/>
        </w:rPr>
        <w:t>指事业单位开展专业业务活动及其辅助活动取得的现金流入；事业单位收到的财政专户实际核拨的教育收费等资金在此反映。</w:t>
      </w:r>
    </w:p>
    <w:p>
      <w:pPr>
        <w:pStyle w:val="16"/>
        <w:keepNext w:val="0"/>
        <w:keepLines w:val="0"/>
        <w:pageBreakBefore w:val="0"/>
        <w:widowControl w:val="0"/>
        <w:kinsoku/>
        <w:wordWrap/>
        <w:overflowPunct/>
        <w:topLinePunct w:val="0"/>
        <w:autoSpaceDN/>
        <w:bidi w:val="0"/>
        <w:adjustRightInd/>
        <w:snapToGrid/>
        <w:spacing w:before="0" w:beforeAutospacing="0" w:after="0" w:afterAutospacing="0" w:line="600" w:lineRule="exact"/>
        <w:ind w:firstLine="642" w:firstLineChars="200"/>
        <w:textAlignment w:val="auto"/>
        <w:rPr>
          <w:rFonts w:hint="eastAsia" w:ascii="Times New Roman" w:hAnsi="Times New Roman" w:eastAsia="方正仿宋_GBK" w:cs="方正仿宋_GBK"/>
          <w:kern w:val="0"/>
          <w:sz w:val="32"/>
          <w:szCs w:val="32"/>
        </w:rPr>
      </w:pPr>
      <w:r>
        <w:rPr>
          <w:rStyle w:val="14"/>
          <w:rFonts w:hint="eastAsia" w:ascii="Times New Roman" w:hAnsi="Times New Roman" w:eastAsia="方正仿宋_GBK" w:cs="楷体"/>
          <w:sz w:val="32"/>
          <w:szCs w:val="32"/>
          <w:shd w:val="clear" w:color="auto" w:fill="FFFFFF"/>
          <w:lang w:val="en-US" w:eastAsia="zh-CN" w:bidi="ar-SA"/>
        </w:rPr>
        <w:t>（三）经营收入：</w:t>
      </w:r>
      <w:r>
        <w:rPr>
          <w:rFonts w:hint="eastAsia" w:ascii="Times New Roman" w:hAnsi="Times New Roman" w:eastAsia="方正仿宋_GBK" w:cs="方正仿宋_GBK"/>
          <w:kern w:val="0"/>
          <w:sz w:val="32"/>
          <w:szCs w:val="32"/>
          <w:shd w:val="clear" w:fill="FFFFFF"/>
        </w:rPr>
        <w:t>指事业单位在专业业务活动及其辅助活动之外开展非独立核算经营活动取得的现金流入。</w:t>
      </w:r>
    </w:p>
    <w:p>
      <w:pPr>
        <w:pStyle w:val="16"/>
        <w:keepNext w:val="0"/>
        <w:keepLines w:val="0"/>
        <w:pageBreakBefore w:val="0"/>
        <w:widowControl w:val="0"/>
        <w:kinsoku/>
        <w:wordWrap/>
        <w:overflowPunct/>
        <w:topLinePunct w:val="0"/>
        <w:autoSpaceDN/>
        <w:bidi w:val="0"/>
        <w:adjustRightInd/>
        <w:snapToGrid/>
        <w:spacing w:before="0" w:beforeAutospacing="0" w:after="0" w:afterAutospacing="0" w:line="600" w:lineRule="exact"/>
        <w:ind w:firstLine="642" w:firstLineChars="200"/>
        <w:textAlignment w:val="auto"/>
        <w:rPr>
          <w:rFonts w:hint="eastAsia" w:ascii="Times New Roman" w:hAnsi="Times New Roman" w:eastAsia="方正仿宋_GBK" w:cs="方正仿宋_GBK"/>
          <w:kern w:val="0"/>
          <w:sz w:val="32"/>
          <w:szCs w:val="32"/>
        </w:rPr>
      </w:pPr>
      <w:r>
        <w:rPr>
          <w:rStyle w:val="14"/>
          <w:rFonts w:hint="eastAsia" w:ascii="Times New Roman" w:hAnsi="Times New Roman" w:eastAsia="方正仿宋_GBK" w:cs="楷体"/>
          <w:sz w:val="32"/>
          <w:szCs w:val="32"/>
          <w:shd w:val="clear" w:color="auto" w:fill="FFFFFF"/>
          <w:lang w:val="en-US" w:eastAsia="zh-CN" w:bidi="ar-SA"/>
        </w:rPr>
        <w:t>（四）其他收入：</w:t>
      </w:r>
      <w:r>
        <w:rPr>
          <w:rFonts w:hint="eastAsia" w:ascii="Times New Roman" w:hAnsi="Times New Roman" w:eastAsia="方正仿宋_GBK" w:cs="方正仿宋_GBK"/>
          <w:kern w:val="0"/>
          <w:sz w:val="32"/>
          <w:szCs w:val="32"/>
          <w:shd w:val="clear"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16"/>
        <w:keepNext w:val="0"/>
        <w:keepLines w:val="0"/>
        <w:pageBreakBefore w:val="0"/>
        <w:widowControl w:val="0"/>
        <w:kinsoku/>
        <w:wordWrap/>
        <w:overflowPunct/>
        <w:topLinePunct w:val="0"/>
        <w:autoSpaceDN/>
        <w:bidi w:val="0"/>
        <w:adjustRightInd/>
        <w:snapToGrid/>
        <w:spacing w:before="0" w:beforeAutospacing="0" w:after="0" w:afterAutospacing="0" w:line="600" w:lineRule="exact"/>
        <w:ind w:firstLine="642" w:firstLineChars="200"/>
        <w:textAlignment w:val="auto"/>
        <w:rPr>
          <w:rFonts w:hint="eastAsia" w:ascii="Times New Roman" w:hAnsi="Times New Roman" w:eastAsia="方正仿宋_GBK" w:cs="方正仿宋_GBK"/>
          <w:kern w:val="0"/>
          <w:sz w:val="32"/>
          <w:szCs w:val="32"/>
        </w:rPr>
      </w:pPr>
      <w:r>
        <w:rPr>
          <w:rStyle w:val="14"/>
          <w:rFonts w:hint="eastAsia" w:ascii="Times New Roman" w:hAnsi="Times New Roman" w:eastAsia="方正仿宋_GBK" w:cs="楷体"/>
          <w:sz w:val="32"/>
          <w:szCs w:val="32"/>
          <w:shd w:val="clear" w:color="auto" w:fill="FFFFFF"/>
          <w:lang w:val="en-US" w:eastAsia="zh-CN" w:bidi="ar-SA"/>
        </w:rPr>
        <w:t>（五）使用非财政拨款结余（含专用结余）：</w:t>
      </w:r>
      <w:r>
        <w:rPr>
          <w:rFonts w:hint="eastAsia" w:ascii="Times New Roman" w:hAnsi="Times New Roman" w:eastAsia="方正仿宋_GBK" w:cs="方正仿宋_GBK"/>
          <w:kern w:val="0"/>
          <w:sz w:val="32"/>
          <w:szCs w:val="32"/>
          <w:shd w:val="clear" w:fill="FFFFFF"/>
        </w:rPr>
        <w:t>指单位在当年的“财政拨款收入”、“事业收入”、“经营收入”、“其他收入”等不足以安排当年支出的情况下，使用以前年度积累的非财政拨款结余弥补本年度收支缺口的资金。</w:t>
      </w:r>
    </w:p>
    <w:p>
      <w:pPr>
        <w:pStyle w:val="16"/>
        <w:keepNext w:val="0"/>
        <w:keepLines w:val="0"/>
        <w:pageBreakBefore w:val="0"/>
        <w:widowControl w:val="0"/>
        <w:kinsoku/>
        <w:wordWrap/>
        <w:overflowPunct/>
        <w:topLinePunct w:val="0"/>
        <w:autoSpaceDN/>
        <w:bidi w:val="0"/>
        <w:adjustRightInd/>
        <w:snapToGrid/>
        <w:spacing w:before="0" w:beforeAutospacing="0" w:after="0" w:afterAutospacing="0" w:line="600" w:lineRule="exact"/>
        <w:ind w:firstLine="642" w:firstLineChars="200"/>
        <w:textAlignment w:val="auto"/>
        <w:rPr>
          <w:rFonts w:hint="eastAsia" w:ascii="Times New Roman" w:hAnsi="Times New Roman" w:eastAsia="方正仿宋_GBK" w:cs="方正仿宋_GBK"/>
          <w:kern w:val="0"/>
          <w:sz w:val="32"/>
          <w:szCs w:val="32"/>
        </w:rPr>
      </w:pPr>
      <w:r>
        <w:rPr>
          <w:rStyle w:val="14"/>
          <w:rFonts w:hint="eastAsia" w:ascii="Times New Roman" w:hAnsi="Times New Roman" w:eastAsia="方正仿宋_GBK" w:cs="楷体"/>
          <w:sz w:val="32"/>
          <w:szCs w:val="32"/>
          <w:shd w:val="clear" w:color="auto" w:fill="FFFFFF"/>
          <w:lang w:val="en-US" w:eastAsia="zh-CN" w:bidi="ar-SA"/>
        </w:rPr>
        <w:t>（六）年初结转和结余：</w:t>
      </w:r>
      <w:r>
        <w:rPr>
          <w:rFonts w:hint="eastAsia" w:ascii="Times New Roman" w:hAnsi="Times New Roman" w:eastAsia="方正仿宋_GBK" w:cs="方正仿宋_GBK"/>
          <w:kern w:val="0"/>
          <w:sz w:val="32"/>
          <w:szCs w:val="32"/>
          <w:shd w:val="clear" w:fill="FFFFFF"/>
        </w:rPr>
        <w:t>指单位上年结转本年使用的基本支出结转、项目支出结转和结余、经营结余。</w:t>
      </w:r>
    </w:p>
    <w:p>
      <w:pPr>
        <w:pStyle w:val="16"/>
        <w:keepNext w:val="0"/>
        <w:keepLines w:val="0"/>
        <w:pageBreakBefore w:val="0"/>
        <w:widowControl w:val="0"/>
        <w:kinsoku/>
        <w:wordWrap/>
        <w:overflowPunct/>
        <w:topLinePunct w:val="0"/>
        <w:autoSpaceDN/>
        <w:bidi w:val="0"/>
        <w:adjustRightInd/>
        <w:snapToGrid/>
        <w:spacing w:before="0" w:beforeAutospacing="0" w:after="0" w:afterAutospacing="0" w:line="600" w:lineRule="exact"/>
        <w:ind w:firstLine="642" w:firstLineChars="200"/>
        <w:textAlignment w:val="auto"/>
        <w:rPr>
          <w:rFonts w:hint="eastAsia" w:ascii="Times New Roman" w:hAnsi="Times New Roman" w:eastAsia="方正仿宋_GBK" w:cs="方正仿宋_GBK"/>
          <w:kern w:val="0"/>
          <w:sz w:val="32"/>
          <w:szCs w:val="32"/>
        </w:rPr>
      </w:pPr>
      <w:r>
        <w:rPr>
          <w:rStyle w:val="14"/>
          <w:rFonts w:hint="eastAsia" w:ascii="Times New Roman" w:hAnsi="Times New Roman" w:eastAsia="方正仿宋_GBK" w:cs="楷体"/>
          <w:sz w:val="32"/>
          <w:szCs w:val="32"/>
          <w:shd w:val="clear" w:color="auto" w:fill="FFFFFF"/>
          <w:lang w:val="en-US" w:eastAsia="zh-CN" w:bidi="ar-SA"/>
        </w:rPr>
        <w:t>（七）结余分配：</w:t>
      </w:r>
      <w:r>
        <w:rPr>
          <w:rFonts w:hint="eastAsia" w:ascii="Times New Roman" w:hAnsi="Times New Roman" w:eastAsia="方正仿宋_GBK" w:cs="方正仿宋_GBK"/>
          <w:kern w:val="0"/>
          <w:sz w:val="32"/>
          <w:szCs w:val="32"/>
          <w:shd w:val="clear" w:fill="FFFFFF"/>
        </w:rPr>
        <w:t>指单位按照国家有关规定，缴纳所得税、提取专用基金、转入非财政拨款结余等当年结余的分配情况。</w:t>
      </w:r>
    </w:p>
    <w:p>
      <w:pPr>
        <w:pStyle w:val="16"/>
        <w:keepNext w:val="0"/>
        <w:keepLines w:val="0"/>
        <w:pageBreakBefore w:val="0"/>
        <w:widowControl w:val="0"/>
        <w:kinsoku/>
        <w:wordWrap/>
        <w:overflowPunct/>
        <w:topLinePunct w:val="0"/>
        <w:autoSpaceDN/>
        <w:bidi w:val="0"/>
        <w:adjustRightInd/>
        <w:snapToGrid/>
        <w:spacing w:before="0" w:beforeAutospacing="0" w:after="0" w:afterAutospacing="0" w:line="600" w:lineRule="exact"/>
        <w:ind w:firstLine="642" w:firstLineChars="200"/>
        <w:textAlignment w:val="auto"/>
        <w:rPr>
          <w:rFonts w:hint="eastAsia" w:ascii="Times New Roman" w:hAnsi="Times New Roman" w:eastAsia="方正仿宋_GBK" w:cs="方正仿宋_GBK"/>
          <w:kern w:val="0"/>
          <w:sz w:val="32"/>
          <w:szCs w:val="32"/>
        </w:rPr>
      </w:pPr>
      <w:r>
        <w:rPr>
          <w:rStyle w:val="14"/>
          <w:rFonts w:hint="eastAsia" w:ascii="Times New Roman" w:hAnsi="Times New Roman" w:eastAsia="方正仿宋_GBK" w:cs="楷体"/>
          <w:sz w:val="32"/>
          <w:szCs w:val="32"/>
          <w:shd w:val="clear" w:color="auto" w:fill="FFFFFF"/>
          <w:lang w:val="en-US" w:eastAsia="zh-CN" w:bidi="ar-SA"/>
        </w:rPr>
        <w:t>（八）年末结转和结余：</w:t>
      </w:r>
      <w:r>
        <w:rPr>
          <w:rFonts w:hint="eastAsia" w:ascii="Times New Roman" w:hAnsi="Times New Roman" w:eastAsia="方正仿宋_GBK" w:cs="方正仿宋_GBK"/>
          <w:kern w:val="0"/>
          <w:sz w:val="32"/>
          <w:szCs w:val="32"/>
          <w:shd w:val="clear" w:fill="FFFFFF"/>
        </w:rPr>
        <w:t>指单位结转下年的基本支出结转、项目支出结转和结余、经营结余。</w:t>
      </w:r>
    </w:p>
    <w:p>
      <w:pPr>
        <w:pStyle w:val="16"/>
        <w:keepNext w:val="0"/>
        <w:keepLines w:val="0"/>
        <w:pageBreakBefore w:val="0"/>
        <w:widowControl w:val="0"/>
        <w:kinsoku/>
        <w:wordWrap/>
        <w:overflowPunct/>
        <w:topLinePunct w:val="0"/>
        <w:autoSpaceDN/>
        <w:bidi w:val="0"/>
        <w:adjustRightInd/>
        <w:snapToGrid/>
        <w:spacing w:before="0" w:beforeAutospacing="0" w:after="0" w:afterAutospacing="0" w:line="600" w:lineRule="exact"/>
        <w:ind w:firstLine="642" w:firstLineChars="200"/>
        <w:textAlignment w:val="auto"/>
        <w:rPr>
          <w:rFonts w:hint="eastAsia" w:ascii="Times New Roman" w:hAnsi="Times New Roman" w:eastAsia="方正仿宋_GBK" w:cs="方正仿宋_GBK"/>
          <w:kern w:val="0"/>
          <w:sz w:val="32"/>
          <w:szCs w:val="32"/>
        </w:rPr>
      </w:pPr>
      <w:r>
        <w:rPr>
          <w:rStyle w:val="14"/>
          <w:rFonts w:hint="eastAsia" w:ascii="Times New Roman" w:hAnsi="Times New Roman" w:eastAsia="方正仿宋_GBK" w:cs="楷体"/>
          <w:sz w:val="32"/>
          <w:szCs w:val="32"/>
          <w:shd w:val="clear" w:color="auto" w:fill="FFFFFF"/>
          <w:lang w:val="en-US" w:eastAsia="zh-CN" w:bidi="ar-SA"/>
        </w:rPr>
        <w:t>（九）基本支出：</w:t>
      </w:r>
      <w:r>
        <w:rPr>
          <w:rFonts w:hint="eastAsia" w:ascii="Times New Roman" w:hAnsi="Times New Roman" w:eastAsia="方正仿宋_GBK" w:cs="方正仿宋_GBK"/>
          <w:kern w:val="0"/>
          <w:sz w:val="32"/>
          <w:szCs w:val="32"/>
          <w:shd w:val="clear"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16"/>
        <w:keepNext w:val="0"/>
        <w:keepLines w:val="0"/>
        <w:pageBreakBefore w:val="0"/>
        <w:widowControl w:val="0"/>
        <w:kinsoku/>
        <w:wordWrap/>
        <w:overflowPunct/>
        <w:topLinePunct w:val="0"/>
        <w:autoSpaceDN/>
        <w:bidi w:val="0"/>
        <w:adjustRightInd/>
        <w:snapToGrid/>
        <w:spacing w:before="0" w:beforeAutospacing="0" w:after="0" w:afterAutospacing="0" w:line="600" w:lineRule="exact"/>
        <w:ind w:firstLine="642" w:firstLineChars="200"/>
        <w:textAlignment w:val="auto"/>
        <w:rPr>
          <w:rFonts w:hint="eastAsia" w:ascii="Times New Roman" w:hAnsi="Times New Roman" w:eastAsia="方正仿宋_GBK" w:cs="方正仿宋_GBK"/>
          <w:kern w:val="0"/>
          <w:sz w:val="32"/>
          <w:szCs w:val="32"/>
        </w:rPr>
      </w:pPr>
      <w:r>
        <w:rPr>
          <w:rStyle w:val="14"/>
          <w:rFonts w:hint="eastAsia" w:ascii="Times New Roman" w:hAnsi="Times New Roman" w:eastAsia="方正仿宋_GBK" w:cs="楷体"/>
          <w:sz w:val="32"/>
          <w:szCs w:val="32"/>
          <w:shd w:val="clear" w:color="auto" w:fill="FFFFFF"/>
          <w:lang w:val="en-US" w:eastAsia="zh-CN" w:bidi="ar-SA"/>
        </w:rPr>
        <w:t>（十）项目支出：</w:t>
      </w:r>
      <w:r>
        <w:rPr>
          <w:rFonts w:hint="eastAsia" w:ascii="Times New Roman" w:hAnsi="Times New Roman" w:eastAsia="方正仿宋_GBK" w:cs="方正仿宋_GBK"/>
          <w:kern w:val="0"/>
          <w:sz w:val="32"/>
          <w:szCs w:val="32"/>
          <w:shd w:val="clear" w:fill="FFFFFF"/>
        </w:rPr>
        <w:t>指在基本支出之外为完成特定行政任务和事业发展目标所发生的支出。</w:t>
      </w:r>
    </w:p>
    <w:p>
      <w:pPr>
        <w:pStyle w:val="16"/>
        <w:keepNext w:val="0"/>
        <w:keepLines w:val="0"/>
        <w:pageBreakBefore w:val="0"/>
        <w:widowControl w:val="0"/>
        <w:kinsoku/>
        <w:wordWrap/>
        <w:overflowPunct/>
        <w:topLinePunct w:val="0"/>
        <w:autoSpaceDN/>
        <w:bidi w:val="0"/>
        <w:adjustRightInd/>
        <w:snapToGrid/>
        <w:spacing w:before="0" w:beforeAutospacing="0" w:after="0" w:afterAutospacing="0" w:line="600" w:lineRule="exact"/>
        <w:ind w:firstLine="642" w:firstLineChars="200"/>
        <w:textAlignment w:val="auto"/>
        <w:rPr>
          <w:rFonts w:hint="eastAsia" w:ascii="Times New Roman" w:hAnsi="Times New Roman" w:eastAsia="方正仿宋_GBK" w:cs="方正仿宋_GBK"/>
          <w:kern w:val="0"/>
          <w:sz w:val="32"/>
          <w:szCs w:val="32"/>
        </w:rPr>
      </w:pPr>
      <w:r>
        <w:rPr>
          <w:rStyle w:val="14"/>
          <w:rFonts w:hint="eastAsia" w:ascii="Times New Roman" w:hAnsi="Times New Roman" w:eastAsia="方正仿宋_GBK" w:cs="楷体"/>
          <w:sz w:val="32"/>
          <w:szCs w:val="32"/>
          <w:shd w:val="clear" w:color="auto" w:fill="FFFFFF"/>
          <w:lang w:val="en-US" w:eastAsia="zh-CN" w:bidi="ar-SA"/>
        </w:rPr>
        <w:t>（十一）经营支出：</w:t>
      </w:r>
      <w:r>
        <w:rPr>
          <w:rFonts w:hint="eastAsia" w:ascii="Times New Roman" w:hAnsi="Times New Roman" w:eastAsia="方正仿宋_GBK" w:cs="方正仿宋_GBK"/>
          <w:kern w:val="0"/>
          <w:sz w:val="32"/>
          <w:szCs w:val="32"/>
          <w:shd w:val="clear" w:fill="FFFFFF"/>
        </w:rPr>
        <w:t>指事业单位在专业业务活动及其辅助活动之外开展非独立核算经营活动发生的支出。</w:t>
      </w:r>
    </w:p>
    <w:p>
      <w:pPr>
        <w:pStyle w:val="16"/>
        <w:keepNext w:val="0"/>
        <w:keepLines w:val="0"/>
        <w:pageBreakBefore w:val="0"/>
        <w:widowControl w:val="0"/>
        <w:kinsoku/>
        <w:wordWrap/>
        <w:overflowPunct/>
        <w:topLinePunct w:val="0"/>
        <w:autoSpaceDN/>
        <w:bidi w:val="0"/>
        <w:adjustRightInd/>
        <w:snapToGrid/>
        <w:spacing w:before="0" w:beforeAutospacing="0" w:after="0" w:afterAutospacing="0" w:line="600" w:lineRule="exact"/>
        <w:ind w:firstLine="642" w:firstLineChars="200"/>
        <w:textAlignment w:val="auto"/>
        <w:rPr>
          <w:rFonts w:hint="eastAsia" w:ascii="Times New Roman" w:hAnsi="Times New Roman" w:eastAsia="方正仿宋_GBK" w:cs="方正仿宋_GBK"/>
          <w:kern w:val="0"/>
          <w:sz w:val="32"/>
          <w:szCs w:val="32"/>
        </w:rPr>
      </w:pPr>
      <w:r>
        <w:rPr>
          <w:rStyle w:val="14"/>
          <w:rFonts w:hint="eastAsia" w:ascii="Times New Roman" w:hAnsi="Times New Roman" w:eastAsia="方正仿宋_GBK" w:cs="楷体"/>
          <w:sz w:val="32"/>
          <w:szCs w:val="32"/>
          <w:shd w:val="clear" w:color="auto" w:fill="FFFFFF"/>
          <w:lang w:val="en-US" w:eastAsia="zh-CN" w:bidi="ar-SA"/>
        </w:rPr>
        <w:t>（十二）“三公”经费：</w:t>
      </w:r>
      <w:r>
        <w:rPr>
          <w:rFonts w:hint="eastAsia" w:ascii="Times New Roman" w:hAnsi="Times New Roman" w:eastAsia="方正仿宋_GBK" w:cs="方正仿宋_GBK"/>
          <w:kern w:val="0"/>
          <w:sz w:val="32"/>
          <w:szCs w:val="32"/>
          <w:shd w:val="clear"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16"/>
        <w:keepNext w:val="0"/>
        <w:keepLines w:val="0"/>
        <w:pageBreakBefore w:val="0"/>
        <w:widowControl w:val="0"/>
        <w:kinsoku/>
        <w:wordWrap/>
        <w:overflowPunct/>
        <w:topLinePunct w:val="0"/>
        <w:autoSpaceDN/>
        <w:bidi w:val="0"/>
        <w:adjustRightInd/>
        <w:snapToGrid/>
        <w:spacing w:before="0" w:beforeAutospacing="0" w:after="0" w:afterAutospacing="0" w:line="600" w:lineRule="exact"/>
        <w:ind w:firstLine="642" w:firstLineChars="200"/>
        <w:textAlignment w:val="auto"/>
        <w:rPr>
          <w:rFonts w:hint="eastAsia" w:ascii="Times New Roman" w:hAnsi="Times New Roman" w:eastAsia="方正仿宋_GBK" w:cs="方正仿宋_GBK"/>
          <w:kern w:val="0"/>
          <w:sz w:val="32"/>
          <w:szCs w:val="32"/>
        </w:rPr>
      </w:pPr>
      <w:r>
        <w:rPr>
          <w:rStyle w:val="14"/>
          <w:rFonts w:hint="eastAsia" w:ascii="Times New Roman" w:hAnsi="Times New Roman" w:eastAsia="方正仿宋_GBK" w:cs="楷体"/>
          <w:sz w:val="32"/>
          <w:szCs w:val="32"/>
          <w:shd w:val="clear" w:color="auto" w:fill="FFFFFF"/>
          <w:lang w:val="en-US" w:eastAsia="zh-CN" w:bidi="ar-SA"/>
        </w:rPr>
        <w:t>（十三）机关运行经费：</w:t>
      </w:r>
      <w:r>
        <w:rPr>
          <w:rFonts w:hint="eastAsia" w:ascii="Times New Roman" w:hAnsi="Times New Roman" w:eastAsia="方正仿宋_GBK" w:cs="方正仿宋_GBK"/>
          <w:kern w:val="0"/>
          <w:sz w:val="32"/>
          <w:szCs w:val="32"/>
          <w:shd w:val="clear"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pStyle w:val="16"/>
        <w:keepNext w:val="0"/>
        <w:keepLines w:val="0"/>
        <w:pageBreakBefore w:val="0"/>
        <w:widowControl w:val="0"/>
        <w:kinsoku/>
        <w:wordWrap/>
        <w:overflowPunct/>
        <w:topLinePunct w:val="0"/>
        <w:autoSpaceDN/>
        <w:bidi w:val="0"/>
        <w:adjustRightInd/>
        <w:snapToGrid/>
        <w:spacing w:before="0" w:beforeAutospacing="0" w:after="0" w:afterAutospacing="0" w:line="600" w:lineRule="exact"/>
        <w:ind w:firstLine="642" w:firstLineChars="200"/>
        <w:textAlignment w:val="auto"/>
        <w:rPr>
          <w:rFonts w:hint="eastAsia" w:ascii="Times New Roman" w:hAnsi="Times New Roman" w:eastAsia="方正仿宋_GBK" w:cs="方正仿宋_GBK"/>
          <w:kern w:val="0"/>
          <w:sz w:val="32"/>
          <w:szCs w:val="32"/>
        </w:rPr>
      </w:pPr>
      <w:r>
        <w:rPr>
          <w:rStyle w:val="14"/>
          <w:rFonts w:hint="eastAsia" w:ascii="Times New Roman" w:hAnsi="Times New Roman" w:eastAsia="方正仿宋_GBK" w:cs="楷体"/>
          <w:sz w:val="32"/>
          <w:szCs w:val="32"/>
          <w:shd w:val="clear" w:color="auto" w:fill="FFFFFF"/>
          <w:lang w:val="en-US" w:eastAsia="zh-CN" w:bidi="ar-SA"/>
        </w:rPr>
        <w:t>（十四）工资福利支出（支出经济分类科目类级）：</w:t>
      </w:r>
      <w:r>
        <w:rPr>
          <w:rFonts w:hint="eastAsia" w:ascii="Times New Roman" w:hAnsi="Times New Roman" w:eastAsia="方正仿宋_GBK" w:cs="方正仿宋_GBK"/>
          <w:kern w:val="0"/>
          <w:sz w:val="32"/>
          <w:szCs w:val="32"/>
          <w:shd w:val="clear" w:fill="FFFFFF"/>
        </w:rPr>
        <w:t>反映单位开支的在职职工和编制外长期聘用人员的各类劳动报酬，以及为上述人员缴纳的各项社会保险费等。</w:t>
      </w:r>
    </w:p>
    <w:p>
      <w:pPr>
        <w:pStyle w:val="16"/>
        <w:keepNext w:val="0"/>
        <w:keepLines w:val="0"/>
        <w:pageBreakBefore w:val="0"/>
        <w:widowControl w:val="0"/>
        <w:kinsoku/>
        <w:wordWrap/>
        <w:overflowPunct/>
        <w:topLinePunct w:val="0"/>
        <w:autoSpaceDN/>
        <w:bidi w:val="0"/>
        <w:adjustRightInd/>
        <w:snapToGrid/>
        <w:spacing w:before="0" w:beforeAutospacing="0" w:after="0" w:afterAutospacing="0" w:line="600" w:lineRule="exact"/>
        <w:ind w:firstLine="642" w:firstLineChars="200"/>
        <w:textAlignment w:val="auto"/>
        <w:rPr>
          <w:rFonts w:hint="eastAsia" w:ascii="Times New Roman" w:hAnsi="Times New Roman" w:eastAsia="方正仿宋_GBK" w:cs="方正仿宋_GBK"/>
          <w:kern w:val="0"/>
          <w:sz w:val="32"/>
          <w:szCs w:val="32"/>
        </w:rPr>
      </w:pPr>
      <w:r>
        <w:rPr>
          <w:rStyle w:val="14"/>
          <w:rFonts w:hint="eastAsia" w:ascii="Times New Roman" w:hAnsi="Times New Roman" w:eastAsia="方正仿宋_GBK" w:cs="楷体"/>
          <w:sz w:val="32"/>
          <w:szCs w:val="32"/>
          <w:shd w:val="clear" w:color="auto" w:fill="FFFFFF"/>
          <w:lang w:val="en-US" w:eastAsia="zh-CN" w:bidi="ar-SA"/>
        </w:rPr>
        <w:t>（十五）商品和服务支出（支出经济分类科目类级）：</w:t>
      </w:r>
      <w:r>
        <w:rPr>
          <w:rFonts w:hint="eastAsia" w:ascii="Times New Roman" w:hAnsi="Times New Roman" w:eastAsia="方正仿宋_GBK" w:cs="方正仿宋_GBK"/>
          <w:kern w:val="0"/>
          <w:sz w:val="32"/>
          <w:szCs w:val="32"/>
          <w:shd w:val="clear" w:fill="FFFFFF"/>
        </w:rPr>
        <w:t>反映单位购买商品和服务的支出（不包括用于购置固定资产的支出、战略性和应急储备支出）。</w:t>
      </w:r>
    </w:p>
    <w:p>
      <w:pPr>
        <w:pStyle w:val="16"/>
        <w:keepNext w:val="0"/>
        <w:keepLines w:val="0"/>
        <w:pageBreakBefore w:val="0"/>
        <w:widowControl w:val="0"/>
        <w:kinsoku/>
        <w:wordWrap/>
        <w:overflowPunct/>
        <w:topLinePunct w:val="0"/>
        <w:autoSpaceDN/>
        <w:bidi w:val="0"/>
        <w:adjustRightInd/>
        <w:snapToGrid/>
        <w:spacing w:before="0" w:beforeAutospacing="0" w:after="0" w:afterAutospacing="0" w:line="600" w:lineRule="exact"/>
        <w:ind w:firstLine="642" w:firstLineChars="200"/>
        <w:textAlignment w:val="auto"/>
        <w:rPr>
          <w:rFonts w:hint="eastAsia" w:ascii="Times New Roman" w:hAnsi="Times New Roman" w:eastAsia="方正仿宋_GBK" w:cs="方正仿宋_GBK"/>
          <w:kern w:val="0"/>
          <w:sz w:val="32"/>
          <w:szCs w:val="32"/>
        </w:rPr>
      </w:pPr>
      <w:r>
        <w:rPr>
          <w:rStyle w:val="14"/>
          <w:rFonts w:hint="eastAsia" w:ascii="Times New Roman" w:hAnsi="Times New Roman" w:eastAsia="方正仿宋_GBK" w:cs="楷体"/>
          <w:sz w:val="32"/>
          <w:szCs w:val="32"/>
          <w:shd w:val="clear" w:color="auto" w:fill="FFFFFF"/>
          <w:lang w:val="en-US" w:eastAsia="zh-CN" w:bidi="ar-SA"/>
        </w:rPr>
        <w:t>（十六）对个人和家庭的补助（支出经济分类科目类级）：</w:t>
      </w:r>
      <w:r>
        <w:rPr>
          <w:rFonts w:hint="eastAsia" w:ascii="Times New Roman" w:hAnsi="Times New Roman" w:eastAsia="方正仿宋_GBK" w:cs="方正仿宋_GBK"/>
          <w:kern w:val="0"/>
          <w:sz w:val="32"/>
          <w:szCs w:val="32"/>
          <w:shd w:val="clear" w:fill="FFFFFF"/>
        </w:rPr>
        <w:t>反映用于对个人和家庭的补助支出。</w:t>
      </w:r>
    </w:p>
    <w:p>
      <w:pPr>
        <w:pStyle w:val="16"/>
        <w:keepNext w:val="0"/>
        <w:keepLines w:val="0"/>
        <w:pageBreakBefore w:val="0"/>
        <w:widowControl w:val="0"/>
        <w:kinsoku/>
        <w:wordWrap/>
        <w:overflowPunct/>
        <w:topLinePunct w:val="0"/>
        <w:autoSpaceDN/>
        <w:bidi w:val="0"/>
        <w:adjustRightInd/>
        <w:snapToGrid/>
        <w:spacing w:before="0" w:beforeAutospacing="0" w:after="0" w:afterAutospacing="0" w:line="600" w:lineRule="exact"/>
        <w:ind w:firstLine="642" w:firstLineChars="200"/>
        <w:textAlignment w:val="auto"/>
        <w:rPr>
          <w:rFonts w:hint="eastAsia" w:ascii="Times New Roman" w:hAnsi="Times New Roman" w:eastAsia="方正仿宋_GBK" w:cs="方正仿宋_GBK"/>
          <w:kern w:val="0"/>
          <w:sz w:val="32"/>
          <w:szCs w:val="32"/>
        </w:rPr>
      </w:pPr>
      <w:r>
        <w:rPr>
          <w:rStyle w:val="14"/>
          <w:rFonts w:hint="eastAsia" w:ascii="Times New Roman" w:hAnsi="Times New Roman" w:eastAsia="方正仿宋_GBK" w:cs="楷体"/>
          <w:sz w:val="32"/>
          <w:szCs w:val="32"/>
          <w:shd w:val="clear" w:color="auto" w:fill="FFFFFF"/>
          <w:lang w:val="en-US" w:eastAsia="zh-CN" w:bidi="ar-SA"/>
        </w:rPr>
        <w:t>（十七）其他资本性支出（支出经济分类科目类级）：</w:t>
      </w:r>
      <w:r>
        <w:rPr>
          <w:rFonts w:hint="eastAsia" w:ascii="Times New Roman" w:hAnsi="Times New Roman" w:eastAsia="方正仿宋_GBK" w:cs="方正仿宋_GBK"/>
          <w:kern w:val="0"/>
          <w:sz w:val="32"/>
          <w:szCs w:val="32"/>
          <w:shd w:val="clear" w:fill="FFFFFF"/>
        </w:rPr>
        <w:t>反映非各级发展与改革部门集中安排的用于购置固定资产、战略性和应急性储备、土地和无形资产，以及构建基础设施、大型修缮和财政支持企业更新改造所发生的支出。</w:t>
      </w:r>
    </w:p>
    <w:p>
      <w:pPr>
        <w:pStyle w:val="16"/>
        <w:keepNext w:val="0"/>
        <w:keepLines w:val="0"/>
        <w:pageBreakBefore w:val="0"/>
        <w:widowControl w:val="0"/>
        <w:kinsoku/>
        <w:wordWrap/>
        <w:overflowPunct/>
        <w:topLinePunct w:val="0"/>
        <w:autoSpaceDN/>
        <w:bidi w:val="0"/>
        <w:adjustRightInd/>
        <w:snapToGrid/>
        <w:spacing w:before="0" w:beforeAutospacing="0" w:after="0" w:afterAutospacing="0" w:line="600" w:lineRule="exact"/>
        <w:ind w:firstLine="642" w:firstLineChars="200"/>
        <w:textAlignment w:val="auto"/>
        <w:rPr>
          <w:rFonts w:hint="eastAsia" w:ascii="Times New Roman" w:hAnsi="Times New Roman" w:eastAsia="方正仿宋_GBK" w:cs="方正仿宋_GBK"/>
          <w:kern w:val="0"/>
          <w:sz w:val="32"/>
          <w:szCs w:val="32"/>
        </w:rPr>
      </w:pPr>
      <w:r>
        <w:rPr>
          <w:rStyle w:val="14"/>
          <w:rFonts w:hint="eastAsia" w:ascii="Times New Roman" w:hAnsi="Times New Roman" w:eastAsia="方正仿宋_GBK" w:cs="黑体"/>
          <w:sz w:val="32"/>
          <w:szCs w:val="32"/>
          <w:shd w:val="clear" w:color="auto" w:fill="FFFFFF"/>
          <w:lang w:val="en-US" w:eastAsia="zh-CN" w:bidi="ar-SA"/>
        </w:rPr>
        <w:t>七、决算公开联系方式及信息反馈渠道</w:t>
      </w:r>
    </w:p>
    <w:p>
      <w:pPr>
        <w:keepNext w:val="0"/>
        <w:keepLines w:val="0"/>
        <w:pageBreakBefore w:val="0"/>
        <w:widowControl w:val="0"/>
        <w:suppressLineNumbers w:val="0"/>
        <w:kinsoku/>
        <w:wordWrap/>
        <w:overflowPunct/>
        <w:topLinePunct w:val="0"/>
        <w:autoSpaceDN/>
        <w:bidi w:val="0"/>
        <w:adjustRightInd/>
        <w:spacing w:beforeAutospacing="0" w:afterAutospacing="0" w:line="600" w:lineRule="exact"/>
        <w:ind w:firstLine="640" w:firstLineChars="200"/>
        <w:jc w:val="left"/>
        <w:textAlignment w:val="auto"/>
        <w:rPr>
          <w:rFonts w:ascii="Times New Roman" w:hAnsi="Times New Roman" w:eastAsia="方正仿宋_GBK" w:cs="方正仿宋_GBK"/>
          <w:sz w:val="32"/>
          <w:szCs w:val="32"/>
          <w:shd w:val="clear" w:color="auto" w:fill="FFFFFF"/>
        </w:rPr>
      </w:pPr>
      <w:r>
        <w:rPr>
          <w:rFonts w:ascii="Times New Roman" w:hAnsi="Times New Roman" w:eastAsia="方正仿宋_GBK" w:cs="方正仿宋_GBK"/>
          <w:sz w:val="32"/>
          <w:szCs w:val="32"/>
          <w:shd w:val="clear" w:color="auto" w:fill="FFFFFF"/>
        </w:rPr>
        <w:t>本单位决算公开信息反馈和联系方式：</w:t>
      </w:r>
    </w:p>
    <w:p>
      <w:pPr>
        <w:keepNext w:val="0"/>
        <w:keepLines w:val="0"/>
        <w:pageBreakBefore w:val="0"/>
        <w:widowControl w:val="0"/>
        <w:suppressLineNumbers w:val="0"/>
        <w:kinsoku/>
        <w:wordWrap/>
        <w:overflowPunct/>
        <w:topLinePunct w:val="0"/>
        <w:autoSpaceDN/>
        <w:bidi w:val="0"/>
        <w:adjustRightInd/>
        <w:spacing w:beforeAutospacing="0" w:afterAutospacing="0" w:line="600" w:lineRule="exact"/>
        <w:ind w:firstLine="620" w:firstLineChars="200"/>
        <w:jc w:val="left"/>
        <w:textAlignment w:val="auto"/>
        <w:rPr>
          <w:rFonts w:hint="default" w:ascii="Times New Roman" w:hAnsi="Times New Roman" w:eastAsia="方正仿宋_GBK" w:cs="方正仿宋_GBK"/>
          <w:sz w:val="32"/>
          <w:szCs w:val="32"/>
        </w:rPr>
      </w:pPr>
      <w:r>
        <w:rPr>
          <w:rFonts w:hint="eastAsia" w:ascii="Times New Roman" w:hAnsi="Times New Roman" w:eastAsia="方正仿宋_GBK" w:cs="Times New Roman"/>
          <w:i w:val="0"/>
          <w:caps w:val="0"/>
          <w:color w:val="333333"/>
          <w:spacing w:val="0"/>
          <w:kern w:val="0"/>
          <w:sz w:val="31"/>
          <w:szCs w:val="31"/>
          <w:shd w:val="clear" w:fill="FFFFFF"/>
          <w:lang w:val="en-US" w:eastAsia="zh-CN" w:bidi="ar"/>
        </w:rPr>
        <w:t xml:space="preserve">周训涛  </w:t>
      </w:r>
      <w:r>
        <w:rPr>
          <w:rFonts w:hint="default" w:ascii="Times New Roman" w:hAnsi="Times New Roman" w:eastAsia="方正仿宋_GBK" w:cs="Times New Roman"/>
          <w:i w:val="0"/>
          <w:caps w:val="0"/>
          <w:color w:val="333333"/>
          <w:spacing w:val="0"/>
          <w:kern w:val="0"/>
          <w:sz w:val="31"/>
          <w:szCs w:val="31"/>
          <w:shd w:val="clear" w:fill="FFFFFF"/>
          <w:lang w:val="en-US" w:eastAsia="zh-CN" w:bidi="ar"/>
        </w:rPr>
        <w:t>023</w:t>
      </w:r>
      <w:r>
        <w:rPr>
          <w:rFonts w:hint="eastAsia" w:ascii="Times New Roman" w:hAnsi="Times New Roman" w:eastAsia="方正仿宋_GBK" w:cs="方正仿宋_GBK"/>
          <w:i w:val="0"/>
          <w:caps w:val="0"/>
          <w:color w:val="333333"/>
          <w:spacing w:val="0"/>
          <w:kern w:val="0"/>
          <w:sz w:val="31"/>
          <w:szCs w:val="31"/>
          <w:shd w:val="clear" w:fill="FFFFFF"/>
          <w:lang w:val="en-US" w:eastAsia="zh-CN" w:bidi="ar"/>
        </w:rPr>
        <w:t>-</w:t>
      </w:r>
      <w:r>
        <w:rPr>
          <w:rFonts w:hint="default" w:ascii="Times New Roman" w:hAnsi="Times New Roman" w:eastAsia="方正仿宋_GBK" w:cs="Times New Roman"/>
          <w:i w:val="0"/>
          <w:caps w:val="0"/>
          <w:color w:val="333333"/>
          <w:spacing w:val="0"/>
          <w:kern w:val="0"/>
          <w:sz w:val="31"/>
          <w:szCs w:val="31"/>
          <w:shd w:val="clear" w:fill="FFFFFF"/>
          <w:lang w:val="en-US" w:eastAsia="zh-CN" w:bidi="ar"/>
        </w:rPr>
        <w:t>4378</w:t>
      </w:r>
      <w:r>
        <w:rPr>
          <w:rFonts w:hint="eastAsia" w:ascii="Times New Roman" w:hAnsi="Times New Roman" w:eastAsia="方正仿宋_GBK" w:cs="Times New Roman"/>
          <w:i w:val="0"/>
          <w:caps w:val="0"/>
          <w:color w:val="333333"/>
          <w:spacing w:val="0"/>
          <w:kern w:val="0"/>
          <w:sz w:val="31"/>
          <w:szCs w:val="31"/>
          <w:shd w:val="clear" w:fill="FFFFFF"/>
          <w:lang w:val="en-US" w:eastAsia="zh-CN" w:bidi="ar"/>
        </w:rPr>
        <w:t>6579。</w:t>
      </w:r>
    </w:p>
    <w:p>
      <w:pPr>
        <w:pStyle w:val="15"/>
        <w:keepNext w:val="0"/>
        <w:keepLines w:val="0"/>
        <w:pageBreakBefore w:val="0"/>
        <w:widowControl w:val="0"/>
        <w:kinsoku/>
        <w:wordWrap/>
        <w:overflowPunct/>
        <w:topLinePunct w:val="0"/>
        <w:autoSpaceDE w:val="0"/>
        <w:autoSpaceDN/>
        <w:bidi w:val="0"/>
        <w:adjustRightInd/>
        <w:snapToGrid/>
        <w:spacing w:beforeAutospacing="0" w:afterAutospacing="0" w:line="600" w:lineRule="exact"/>
        <w:ind w:firstLine="640"/>
        <w:jc w:val="both"/>
        <w:textAlignment w:val="auto"/>
        <w:rPr>
          <w:rStyle w:val="14"/>
          <w:rFonts w:ascii="Times New Roman" w:hAnsi="Times New Roman" w:eastAsia="方正仿宋_GBK" w:cs="方正仿宋_GBK"/>
          <w:sz w:val="32"/>
          <w:szCs w:val="32"/>
          <w:shd w:val="clear" w:color="auto" w:fill="FFFF00"/>
        </w:rPr>
        <w:sectPr>
          <w:footerReference r:id="rId4" w:type="default"/>
          <w:pgSz w:w="11915" w:h="16840"/>
          <w:pgMar w:top="1440" w:right="1800" w:bottom="1440" w:left="1800" w:header="851" w:footer="992" w:gutter="0"/>
          <w:pgNumType w:fmt="numberInDash"/>
          <w:cols w:space="720" w:num="1"/>
          <w:docGrid w:type="lines" w:linePitch="312" w:charSpace="0"/>
        </w:sectPr>
      </w:pPr>
    </w:p>
    <w:tbl>
      <w:tblPr>
        <w:tblStyle w:val="11"/>
        <w:tblpPr w:leftFromText="180" w:rightFromText="180" w:vertAnchor="text" w:horzAnchor="page" w:tblpX="1058" w:tblpY="22"/>
        <w:tblOverlap w:val="never"/>
        <w:tblW w:w="4809" w:type="pct"/>
        <w:tblInd w:w="0" w:type="dxa"/>
        <w:tblLayout w:type="autofit"/>
        <w:tblCellMar>
          <w:top w:w="0" w:type="dxa"/>
          <w:left w:w="0" w:type="dxa"/>
          <w:bottom w:w="0" w:type="dxa"/>
          <w:right w:w="0" w:type="dxa"/>
        </w:tblCellMar>
      </w:tblPr>
      <w:tblGrid>
        <w:gridCol w:w="4294"/>
        <w:gridCol w:w="3558"/>
        <w:gridCol w:w="4044"/>
        <w:gridCol w:w="2841"/>
      </w:tblGrid>
      <w:tr>
        <w:tblPrEx>
          <w:tblCellMar>
            <w:top w:w="0" w:type="dxa"/>
            <w:left w:w="0" w:type="dxa"/>
            <w:bottom w:w="0" w:type="dxa"/>
            <w:right w:w="0" w:type="dxa"/>
          </w:tblCellMar>
        </w:tblPrEx>
        <w:trPr>
          <w:trHeight w:val="232" w:hRule="atLeast"/>
        </w:trPr>
        <w:tc>
          <w:tcPr>
            <w:tcW w:w="5000" w:type="pct"/>
            <w:gridSpan w:val="4"/>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收入支出决算总表</w:t>
            </w:r>
          </w:p>
        </w:tc>
      </w:tr>
      <w:tr>
        <w:tblPrEx>
          <w:tblCellMar>
            <w:top w:w="0" w:type="dxa"/>
            <w:left w:w="0" w:type="dxa"/>
            <w:bottom w:w="0" w:type="dxa"/>
            <w:right w:w="0" w:type="dxa"/>
          </w:tblCellMar>
        </w:tblPrEx>
        <w:trPr>
          <w:trHeight w:val="232" w:hRule="atLeast"/>
        </w:trPr>
        <w:tc>
          <w:tcPr>
            <w:tcW w:w="145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1206" w:type="pct"/>
            <w:tcBorders>
              <w:top w:val="nil"/>
              <w:left w:val="nil"/>
              <w:bottom w:val="nil"/>
              <w:right w:val="nil"/>
            </w:tcBorders>
            <w:shd w:val="clear" w:color="auto" w:fill="auto"/>
            <w:noWrap/>
            <w:tcMar>
              <w:top w:w="15" w:type="dxa"/>
              <w:left w:w="15" w:type="dxa"/>
              <w:right w:w="15" w:type="dxa"/>
            </w:tcMar>
            <w:vAlign w:val="bottom"/>
          </w:tcPr>
          <w:p>
            <w:pPr>
              <w:spacing w:line="200" w:lineRule="exact"/>
              <w:jc w:val="right"/>
              <w:rPr>
                <w:rFonts w:hint="default" w:ascii="Arial" w:hAnsi="Arial" w:cs="Arial"/>
                <w:color w:val="000000"/>
                <w:sz w:val="20"/>
                <w:szCs w:val="20"/>
              </w:rPr>
            </w:pPr>
          </w:p>
        </w:tc>
        <w:tc>
          <w:tcPr>
            <w:tcW w:w="1372"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963" w:type="pct"/>
            <w:tcBorders>
              <w:top w:val="nil"/>
              <w:left w:val="nil"/>
              <w:bottom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jc w:val="right"/>
              <w:textAlignment w:val="bottom"/>
              <w:rPr>
                <w:rFonts w:hint="default" w:cs="宋体"/>
                <w:color w:val="000000"/>
                <w:sz w:val="20"/>
                <w:szCs w:val="20"/>
              </w:rPr>
            </w:pPr>
            <w:r>
              <w:rPr>
                <w:rFonts w:cs="宋体"/>
                <w:color w:val="000000"/>
                <w:sz w:val="20"/>
                <w:szCs w:val="20"/>
              </w:rPr>
              <w:t>公开</w:t>
            </w:r>
            <w:r>
              <w:rPr>
                <w:rFonts w:hint="default" w:ascii="Times New Roman" w:hAnsi="Times New Roman" w:cs="Times New Roman"/>
                <w:color w:val="000000"/>
                <w:sz w:val="20"/>
                <w:szCs w:val="20"/>
              </w:rPr>
              <w:t>01</w:t>
            </w:r>
            <w:r>
              <w:rPr>
                <w:rFonts w:cs="宋体"/>
                <w:color w:val="000000"/>
                <w:sz w:val="20"/>
                <w:szCs w:val="20"/>
              </w:rPr>
              <w:t>表</w:t>
            </w:r>
          </w:p>
        </w:tc>
      </w:tr>
      <w:tr>
        <w:tblPrEx>
          <w:tblCellMar>
            <w:top w:w="0" w:type="dxa"/>
            <w:left w:w="0" w:type="dxa"/>
            <w:bottom w:w="0" w:type="dxa"/>
            <w:right w:w="0" w:type="dxa"/>
          </w:tblCellMar>
        </w:tblPrEx>
        <w:trPr>
          <w:trHeight w:val="232" w:hRule="atLeast"/>
        </w:trPr>
        <w:tc>
          <w:tcPr>
            <w:tcW w:w="2664" w:type="pct"/>
            <w:gridSpan w:val="2"/>
            <w:tcBorders>
              <w:top w:val="nil"/>
              <w:left w:val="nil"/>
              <w:bottom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default" w:ascii="Arial" w:hAnsi="Arial" w:cs="Arial"/>
                <w:color w:val="000000"/>
                <w:sz w:val="22"/>
                <w:szCs w:val="22"/>
              </w:rPr>
            </w:pPr>
            <w:r>
              <w:rPr>
                <w:rFonts w:cs="宋体"/>
                <w:sz w:val="20"/>
                <w:szCs w:val="20"/>
              </w:rPr>
              <w:t>单位：</w:t>
            </w:r>
            <w:r>
              <w:rPr>
                <w:sz w:val="20"/>
                <w:u w:color="auto"/>
              </w:rPr>
              <w:t>重庆市大足区智凤街道社区事务服务中心</w:t>
            </w:r>
          </w:p>
        </w:tc>
        <w:tc>
          <w:tcPr>
            <w:tcW w:w="1372"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p>
        </w:tc>
        <w:tc>
          <w:tcPr>
            <w:tcW w:w="963" w:type="pct"/>
            <w:tcBorders>
              <w:top w:val="nil"/>
              <w:left w:val="nil"/>
              <w:bottom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243" w:hRule="atLeast"/>
        </w:trPr>
        <w:tc>
          <w:tcPr>
            <w:tcW w:w="2664"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收入</w:t>
            </w:r>
          </w:p>
        </w:tc>
        <w:tc>
          <w:tcPr>
            <w:tcW w:w="2335" w:type="pct"/>
            <w:gridSpan w:val="2"/>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支出</w:t>
            </w:r>
          </w:p>
        </w:tc>
      </w:tr>
      <w:tr>
        <w:tblPrEx>
          <w:tblCellMar>
            <w:top w:w="0" w:type="dxa"/>
            <w:left w:w="0" w:type="dxa"/>
            <w:bottom w:w="0" w:type="dxa"/>
            <w:right w:w="0" w:type="dxa"/>
          </w:tblCellMar>
        </w:tblPrEx>
        <w:trPr>
          <w:trHeight w:val="243"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项目</w:t>
            </w:r>
          </w:p>
        </w:tc>
        <w:tc>
          <w:tcPr>
            <w:tcW w:w="120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c>
          <w:tcPr>
            <w:tcW w:w="1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功能分类科目</w:t>
            </w:r>
          </w:p>
        </w:tc>
        <w:tc>
          <w:tcPr>
            <w:tcW w:w="9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r>
      <w:tr>
        <w:tblPrEx>
          <w:tblCellMar>
            <w:top w:w="0" w:type="dxa"/>
            <w:left w:w="0" w:type="dxa"/>
            <w:bottom w:w="0" w:type="dxa"/>
            <w:right w:w="0" w:type="dxa"/>
          </w:tblCellMar>
        </w:tblPrEx>
        <w:trPr>
          <w:trHeight w:val="243"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一、一般公共预算财政拨款收入</w:t>
            </w:r>
          </w:p>
        </w:tc>
        <w:tc>
          <w:tcPr>
            <w:tcW w:w="120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136.61</w:t>
            </w:r>
            <w:r>
              <w:rPr>
                <w:rFonts w:ascii="Times New Roman" w:hAnsi="Times New Roman"/>
                <w:color w:val="000000"/>
                <w:sz w:val="20"/>
                <w:u w:color="auto"/>
              </w:rPr>
              <w:t xml:space="preserve"> </w:t>
            </w:r>
          </w:p>
        </w:tc>
        <w:tc>
          <w:tcPr>
            <w:tcW w:w="1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一、一般公共服务支出</w:t>
            </w:r>
          </w:p>
        </w:tc>
        <w:tc>
          <w:tcPr>
            <w:tcW w:w="9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243"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二、政府性基金预算财政拨款收入</w:t>
            </w:r>
          </w:p>
        </w:tc>
        <w:tc>
          <w:tcPr>
            <w:tcW w:w="120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c>
          <w:tcPr>
            <w:tcW w:w="1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二、外交支出</w:t>
            </w:r>
          </w:p>
        </w:tc>
        <w:tc>
          <w:tcPr>
            <w:tcW w:w="9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243"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三、国有资本经营预算财政拨款收入</w:t>
            </w:r>
          </w:p>
        </w:tc>
        <w:tc>
          <w:tcPr>
            <w:tcW w:w="120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c>
          <w:tcPr>
            <w:tcW w:w="1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三、国防支出</w:t>
            </w:r>
          </w:p>
        </w:tc>
        <w:tc>
          <w:tcPr>
            <w:tcW w:w="9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243"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四、上级补助收入</w:t>
            </w:r>
          </w:p>
        </w:tc>
        <w:tc>
          <w:tcPr>
            <w:tcW w:w="120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c>
          <w:tcPr>
            <w:tcW w:w="1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四、公共安全支出</w:t>
            </w:r>
          </w:p>
        </w:tc>
        <w:tc>
          <w:tcPr>
            <w:tcW w:w="9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243"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五、事业收入</w:t>
            </w:r>
          </w:p>
        </w:tc>
        <w:tc>
          <w:tcPr>
            <w:tcW w:w="120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c>
          <w:tcPr>
            <w:tcW w:w="1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五、教育支出</w:t>
            </w:r>
          </w:p>
        </w:tc>
        <w:tc>
          <w:tcPr>
            <w:tcW w:w="9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243"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六、经营收入</w:t>
            </w:r>
          </w:p>
        </w:tc>
        <w:tc>
          <w:tcPr>
            <w:tcW w:w="120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c>
          <w:tcPr>
            <w:tcW w:w="1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六、科学技术支出</w:t>
            </w:r>
          </w:p>
        </w:tc>
        <w:tc>
          <w:tcPr>
            <w:tcW w:w="9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243"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七、附属单位上缴收入</w:t>
            </w:r>
          </w:p>
        </w:tc>
        <w:tc>
          <w:tcPr>
            <w:tcW w:w="120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c>
          <w:tcPr>
            <w:tcW w:w="1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七、文化旅游体育与传媒支出</w:t>
            </w:r>
          </w:p>
        </w:tc>
        <w:tc>
          <w:tcPr>
            <w:tcW w:w="9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243"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八、其他收入</w:t>
            </w:r>
          </w:p>
        </w:tc>
        <w:tc>
          <w:tcPr>
            <w:tcW w:w="1206" w:type="pct"/>
            <w:tcBorders>
              <w:top w:val="nil"/>
              <w:left w:val="nil"/>
              <w:bottom w:val="nil"/>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c>
          <w:tcPr>
            <w:tcW w:w="1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八、社会保障和就业支出</w:t>
            </w:r>
          </w:p>
        </w:tc>
        <w:tc>
          <w:tcPr>
            <w:tcW w:w="9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13.82</w:t>
            </w: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243"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rPr>
                <w:rFonts w:hint="default" w:cs="宋体"/>
                <w:b/>
                <w:bCs/>
                <w:color w:val="000000"/>
                <w:sz w:val="20"/>
                <w:szCs w:val="20"/>
              </w:rPr>
            </w:pPr>
          </w:p>
        </w:tc>
        <w:tc>
          <w:tcPr>
            <w:tcW w:w="120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spacing w:line="200" w:lineRule="exact"/>
              <w:jc w:val="right"/>
              <w:textAlignment w:val="center"/>
              <w:rPr>
                <w:rFonts w:hint="default" w:ascii="Times New Roman" w:hAnsi="Times New Roman"/>
                <w:color w:val="000000"/>
                <w:sz w:val="20"/>
                <w:szCs w:val="20"/>
              </w:rPr>
            </w:pPr>
          </w:p>
        </w:tc>
        <w:tc>
          <w:tcPr>
            <w:tcW w:w="1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九、卫生健康支出</w:t>
            </w:r>
          </w:p>
        </w:tc>
        <w:tc>
          <w:tcPr>
            <w:tcW w:w="9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6.97</w:t>
            </w: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243"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rPr>
                <w:rFonts w:hint="default" w:cs="宋体"/>
                <w:b/>
                <w:bCs/>
                <w:color w:val="000000"/>
                <w:sz w:val="20"/>
                <w:szCs w:val="20"/>
              </w:rPr>
            </w:pPr>
          </w:p>
        </w:tc>
        <w:tc>
          <w:tcPr>
            <w:tcW w:w="120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spacing w:line="200" w:lineRule="exact"/>
              <w:jc w:val="right"/>
              <w:textAlignment w:val="center"/>
              <w:rPr>
                <w:rFonts w:hint="default" w:ascii="Times New Roman" w:hAnsi="Times New Roman"/>
                <w:color w:val="000000"/>
                <w:sz w:val="20"/>
                <w:szCs w:val="20"/>
              </w:rPr>
            </w:pPr>
          </w:p>
        </w:tc>
        <w:tc>
          <w:tcPr>
            <w:tcW w:w="1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十、节能环保支出</w:t>
            </w:r>
          </w:p>
        </w:tc>
        <w:tc>
          <w:tcPr>
            <w:tcW w:w="9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243"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rPr>
                <w:rFonts w:hint="default" w:cs="宋体"/>
                <w:b/>
                <w:bCs/>
                <w:color w:val="000000"/>
                <w:sz w:val="20"/>
                <w:szCs w:val="20"/>
              </w:rPr>
            </w:pPr>
          </w:p>
        </w:tc>
        <w:tc>
          <w:tcPr>
            <w:tcW w:w="120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spacing w:line="200" w:lineRule="exact"/>
              <w:jc w:val="right"/>
              <w:textAlignment w:val="center"/>
              <w:rPr>
                <w:rFonts w:hint="default" w:ascii="Times New Roman" w:hAnsi="Times New Roman"/>
                <w:color w:val="000000"/>
                <w:sz w:val="20"/>
                <w:szCs w:val="20"/>
              </w:rPr>
            </w:pPr>
          </w:p>
        </w:tc>
        <w:tc>
          <w:tcPr>
            <w:tcW w:w="1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十一、城乡社区支出</w:t>
            </w:r>
          </w:p>
        </w:tc>
        <w:tc>
          <w:tcPr>
            <w:tcW w:w="9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108.99</w:t>
            </w: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243"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rPr>
                <w:rFonts w:hint="default" w:cs="宋体"/>
                <w:b/>
                <w:bCs/>
                <w:color w:val="000000"/>
                <w:sz w:val="20"/>
                <w:szCs w:val="20"/>
              </w:rPr>
            </w:pPr>
          </w:p>
        </w:tc>
        <w:tc>
          <w:tcPr>
            <w:tcW w:w="120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spacing w:line="200" w:lineRule="exact"/>
              <w:jc w:val="right"/>
              <w:textAlignment w:val="center"/>
              <w:rPr>
                <w:rFonts w:hint="default" w:ascii="Times New Roman" w:hAnsi="Times New Roman"/>
                <w:color w:val="000000"/>
                <w:sz w:val="20"/>
                <w:szCs w:val="20"/>
              </w:rPr>
            </w:pPr>
          </w:p>
        </w:tc>
        <w:tc>
          <w:tcPr>
            <w:tcW w:w="1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十二、农林水支出</w:t>
            </w:r>
          </w:p>
        </w:tc>
        <w:tc>
          <w:tcPr>
            <w:tcW w:w="9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243"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rPr>
                <w:rFonts w:hint="default" w:cs="宋体"/>
                <w:b/>
                <w:bCs/>
                <w:color w:val="000000"/>
                <w:sz w:val="20"/>
                <w:szCs w:val="20"/>
              </w:rPr>
            </w:pPr>
          </w:p>
        </w:tc>
        <w:tc>
          <w:tcPr>
            <w:tcW w:w="120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p>
        </w:tc>
        <w:tc>
          <w:tcPr>
            <w:tcW w:w="1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十三、交通运输支出</w:t>
            </w:r>
          </w:p>
        </w:tc>
        <w:tc>
          <w:tcPr>
            <w:tcW w:w="9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243"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rPr>
                <w:rFonts w:hint="default" w:cs="宋体"/>
                <w:b/>
                <w:bCs/>
                <w:color w:val="000000"/>
                <w:sz w:val="20"/>
                <w:szCs w:val="20"/>
              </w:rPr>
            </w:pPr>
          </w:p>
        </w:tc>
        <w:tc>
          <w:tcPr>
            <w:tcW w:w="120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p>
        </w:tc>
        <w:tc>
          <w:tcPr>
            <w:tcW w:w="1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十四、资源勘探工业信息等支出</w:t>
            </w:r>
          </w:p>
        </w:tc>
        <w:tc>
          <w:tcPr>
            <w:tcW w:w="9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243"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rPr>
                <w:rFonts w:hint="default" w:cs="宋体"/>
                <w:b/>
                <w:bCs/>
                <w:color w:val="000000"/>
                <w:sz w:val="20"/>
                <w:szCs w:val="20"/>
              </w:rPr>
            </w:pPr>
          </w:p>
        </w:tc>
        <w:tc>
          <w:tcPr>
            <w:tcW w:w="120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p>
        </w:tc>
        <w:tc>
          <w:tcPr>
            <w:tcW w:w="1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十五、商业服务业等支出</w:t>
            </w:r>
          </w:p>
        </w:tc>
        <w:tc>
          <w:tcPr>
            <w:tcW w:w="9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243"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rPr>
                <w:rFonts w:hint="default" w:cs="宋体"/>
                <w:b/>
                <w:bCs/>
                <w:color w:val="000000"/>
                <w:sz w:val="20"/>
                <w:szCs w:val="20"/>
              </w:rPr>
            </w:pPr>
          </w:p>
        </w:tc>
        <w:tc>
          <w:tcPr>
            <w:tcW w:w="120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p>
        </w:tc>
        <w:tc>
          <w:tcPr>
            <w:tcW w:w="1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十六、金融支出</w:t>
            </w:r>
          </w:p>
        </w:tc>
        <w:tc>
          <w:tcPr>
            <w:tcW w:w="9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243"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rPr>
                <w:rFonts w:hint="default" w:cs="宋体"/>
                <w:b/>
                <w:bCs/>
                <w:color w:val="000000"/>
                <w:sz w:val="20"/>
                <w:szCs w:val="20"/>
              </w:rPr>
            </w:pPr>
          </w:p>
        </w:tc>
        <w:tc>
          <w:tcPr>
            <w:tcW w:w="120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p>
        </w:tc>
        <w:tc>
          <w:tcPr>
            <w:tcW w:w="1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十七、援助其他地区支出</w:t>
            </w:r>
          </w:p>
        </w:tc>
        <w:tc>
          <w:tcPr>
            <w:tcW w:w="9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90"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rPr>
                <w:rFonts w:hint="default" w:cs="宋体"/>
                <w:b/>
                <w:bCs/>
                <w:color w:val="000000"/>
                <w:sz w:val="20"/>
                <w:szCs w:val="20"/>
              </w:rPr>
            </w:pPr>
          </w:p>
        </w:tc>
        <w:tc>
          <w:tcPr>
            <w:tcW w:w="120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p>
        </w:tc>
        <w:tc>
          <w:tcPr>
            <w:tcW w:w="1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十八、自然资源海洋气象等支出</w:t>
            </w:r>
          </w:p>
        </w:tc>
        <w:tc>
          <w:tcPr>
            <w:tcW w:w="9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243"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rPr>
                <w:rFonts w:hint="default" w:cs="宋体"/>
                <w:b/>
                <w:bCs/>
                <w:color w:val="000000"/>
                <w:sz w:val="20"/>
                <w:szCs w:val="20"/>
              </w:rPr>
            </w:pPr>
          </w:p>
        </w:tc>
        <w:tc>
          <w:tcPr>
            <w:tcW w:w="120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p>
        </w:tc>
        <w:tc>
          <w:tcPr>
            <w:tcW w:w="1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十九、住房保障支出</w:t>
            </w:r>
          </w:p>
        </w:tc>
        <w:tc>
          <w:tcPr>
            <w:tcW w:w="9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6.83</w:t>
            </w: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243"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rPr>
                <w:rFonts w:hint="default" w:cs="宋体"/>
                <w:b/>
                <w:bCs/>
                <w:color w:val="000000"/>
                <w:sz w:val="20"/>
                <w:szCs w:val="20"/>
              </w:rPr>
            </w:pPr>
          </w:p>
        </w:tc>
        <w:tc>
          <w:tcPr>
            <w:tcW w:w="120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p>
        </w:tc>
        <w:tc>
          <w:tcPr>
            <w:tcW w:w="1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二十、粮油物资储备支出</w:t>
            </w:r>
          </w:p>
        </w:tc>
        <w:tc>
          <w:tcPr>
            <w:tcW w:w="9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243"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rPr>
                <w:rFonts w:hint="default" w:cs="宋体"/>
                <w:b/>
                <w:bCs/>
                <w:color w:val="000000"/>
                <w:sz w:val="20"/>
                <w:szCs w:val="20"/>
              </w:rPr>
            </w:pPr>
          </w:p>
        </w:tc>
        <w:tc>
          <w:tcPr>
            <w:tcW w:w="120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p>
        </w:tc>
        <w:tc>
          <w:tcPr>
            <w:tcW w:w="1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二十一、国有资本经营预算支出</w:t>
            </w:r>
          </w:p>
        </w:tc>
        <w:tc>
          <w:tcPr>
            <w:tcW w:w="9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243"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rPr>
                <w:rFonts w:hint="default" w:cs="宋体"/>
                <w:b/>
                <w:bCs/>
                <w:color w:val="000000"/>
                <w:sz w:val="20"/>
                <w:szCs w:val="20"/>
              </w:rPr>
            </w:pPr>
          </w:p>
        </w:tc>
        <w:tc>
          <w:tcPr>
            <w:tcW w:w="120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p>
        </w:tc>
        <w:tc>
          <w:tcPr>
            <w:tcW w:w="1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二十二、灾害防治及应急管理支出</w:t>
            </w:r>
          </w:p>
        </w:tc>
        <w:tc>
          <w:tcPr>
            <w:tcW w:w="9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243"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rPr>
                <w:rFonts w:hint="default" w:cs="宋体"/>
                <w:b/>
                <w:bCs/>
                <w:color w:val="000000"/>
                <w:sz w:val="20"/>
                <w:szCs w:val="20"/>
              </w:rPr>
            </w:pPr>
          </w:p>
        </w:tc>
        <w:tc>
          <w:tcPr>
            <w:tcW w:w="120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p>
        </w:tc>
        <w:tc>
          <w:tcPr>
            <w:tcW w:w="1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二十三、其他支出</w:t>
            </w:r>
          </w:p>
        </w:tc>
        <w:tc>
          <w:tcPr>
            <w:tcW w:w="9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243"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center"/>
              <w:rPr>
                <w:rFonts w:hint="default" w:cs="宋体"/>
                <w:b/>
                <w:bCs/>
                <w:color w:val="000000"/>
                <w:sz w:val="20"/>
                <w:szCs w:val="20"/>
              </w:rPr>
            </w:pPr>
          </w:p>
        </w:tc>
        <w:tc>
          <w:tcPr>
            <w:tcW w:w="120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p>
        </w:tc>
        <w:tc>
          <w:tcPr>
            <w:tcW w:w="1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二十四、债务还本支出</w:t>
            </w:r>
          </w:p>
        </w:tc>
        <w:tc>
          <w:tcPr>
            <w:tcW w:w="9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243"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rPr>
                <w:rFonts w:hint="default" w:cs="宋体"/>
                <w:b/>
                <w:bCs/>
                <w:color w:val="000000"/>
                <w:sz w:val="20"/>
                <w:szCs w:val="20"/>
              </w:rPr>
            </w:pPr>
          </w:p>
        </w:tc>
        <w:tc>
          <w:tcPr>
            <w:tcW w:w="120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p>
        </w:tc>
        <w:tc>
          <w:tcPr>
            <w:tcW w:w="1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二十五、债务付息支出</w:t>
            </w:r>
          </w:p>
        </w:tc>
        <w:tc>
          <w:tcPr>
            <w:tcW w:w="9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243"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rPr>
                <w:rFonts w:hint="default" w:cs="宋体"/>
                <w:b/>
                <w:bCs/>
                <w:color w:val="000000"/>
                <w:sz w:val="20"/>
                <w:szCs w:val="20"/>
              </w:rPr>
            </w:pPr>
          </w:p>
        </w:tc>
        <w:tc>
          <w:tcPr>
            <w:tcW w:w="120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p>
        </w:tc>
        <w:tc>
          <w:tcPr>
            <w:tcW w:w="1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二十六、抗疫特别国债安排的支出</w:t>
            </w:r>
          </w:p>
        </w:tc>
        <w:tc>
          <w:tcPr>
            <w:tcW w:w="9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243"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center"/>
              <w:textAlignment w:val="center"/>
              <w:rPr>
                <w:rFonts w:hint="default" w:cs="宋体"/>
                <w:b/>
                <w:bCs/>
                <w:color w:val="000000"/>
                <w:sz w:val="20"/>
                <w:szCs w:val="20"/>
              </w:rPr>
            </w:pPr>
            <w:r>
              <w:rPr>
                <w:rFonts w:cs="宋体"/>
                <w:b/>
                <w:bCs/>
                <w:color w:val="000000"/>
                <w:sz w:val="20"/>
                <w:szCs w:val="20"/>
              </w:rPr>
              <w:t>本年收入合计</w:t>
            </w:r>
          </w:p>
        </w:tc>
        <w:tc>
          <w:tcPr>
            <w:tcW w:w="120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136.61</w:t>
            </w:r>
            <w:r>
              <w:rPr>
                <w:rFonts w:ascii="Times New Roman" w:hAnsi="Times New Roman"/>
                <w:color w:val="000000"/>
                <w:sz w:val="20"/>
                <w:u w:color="auto"/>
              </w:rPr>
              <w:t xml:space="preserve"> </w:t>
            </w:r>
          </w:p>
        </w:tc>
        <w:tc>
          <w:tcPr>
            <w:tcW w:w="1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center"/>
              <w:textAlignment w:val="center"/>
              <w:rPr>
                <w:rFonts w:hint="default" w:cs="宋体"/>
                <w:b/>
                <w:bCs/>
                <w:color w:val="000000"/>
                <w:sz w:val="20"/>
                <w:szCs w:val="20"/>
              </w:rPr>
            </w:pPr>
            <w:r>
              <w:rPr>
                <w:rFonts w:cs="宋体"/>
                <w:b/>
                <w:bCs/>
                <w:color w:val="000000"/>
                <w:sz w:val="20"/>
                <w:szCs w:val="20"/>
              </w:rPr>
              <w:t>本年支出合计</w:t>
            </w:r>
          </w:p>
        </w:tc>
        <w:tc>
          <w:tcPr>
            <w:tcW w:w="9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136.61</w:t>
            </w: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243"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使用非财政拨款结余（含专用结余）</w:t>
            </w:r>
          </w:p>
        </w:tc>
        <w:tc>
          <w:tcPr>
            <w:tcW w:w="120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c>
          <w:tcPr>
            <w:tcW w:w="1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结余分配</w:t>
            </w:r>
          </w:p>
        </w:tc>
        <w:tc>
          <w:tcPr>
            <w:tcW w:w="9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243"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年初结转和结余</w:t>
            </w:r>
          </w:p>
        </w:tc>
        <w:tc>
          <w:tcPr>
            <w:tcW w:w="120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c>
          <w:tcPr>
            <w:tcW w:w="1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textAlignment w:val="center"/>
              <w:rPr>
                <w:rFonts w:hint="default" w:cs="宋体"/>
                <w:b/>
                <w:bCs/>
                <w:color w:val="000000"/>
                <w:sz w:val="20"/>
                <w:szCs w:val="20"/>
              </w:rPr>
            </w:pPr>
            <w:r>
              <w:rPr>
                <w:rFonts w:cs="宋体"/>
                <w:b/>
                <w:bCs/>
                <w:color w:val="000000"/>
                <w:sz w:val="20"/>
                <w:szCs w:val="20"/>
              </w:rPr>
              <w:t>年末结转和结余</w:t>
            </w:r>
          </w:p>
        </w:tc>
        <w:tc>
          <w:tcPr>
            <w:tcW w:w="963" w:type="pct"/>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253" w:hRule="atLeast"/>
        </w:trPr>
        <w:tc>
          <w:tcPr>
            <w:tcW w:w="145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120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136.61</w:t>
            </w:r>
            <w:r>
              <w:rPr>
                <w:rFonts w:ascii="Times New Roman" w:hAnsi="Times New Roman"/>
                <w:color w:val="000000"/>
                <w:sz w:val="20"/>
                <w:u w:color="auto"/>
              </w:rPr>
              <w:t xml:space="preserve"> </w:t>
            </w:r>
          </w:p>
        </w:tc>
        <w:tc>
          <w:tcPr>
            <w:tcW w:w="1372" w:type="pct"/>
            <w:tcBorders>
              <w:top w:val="nil"/>
              <w:left w:val="nil"/>
              <w:bottom w:val="single" w:color="000000" w:sz="4" w:space="0"/>
              <w:right w:val="single" w:color="auto" w:sz="4" w:space="0"/>
            </w:tcBorders>
            <w:shd w:val="clear" w:color="auto" w:fill="auto"/>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963"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136.61</w:t>
            </w:r>
            <w:r>
              <w:rPr>
                <w:rFonts w:ascii="Times New Roman" w:hAnsi="Times New Roman"/>
                <w:color w:val="000000"/>
                <w:sz w:val="20"/>
                <w:u w:color="auto"/>
              </w:rPr>
              <w:t xml:space="preserve"> </w:t>
            </w:r>
          </w:p>
        </w:tc>
      </w:tr>
    </w:tbl>
    <w:p>
      <w:pPr>
        <w:rPr>
          <w:rFonts w:hint="default" w:cs="宋体"/>
          <w:sz w:val="21"/>
          <w:szCs w:val="21"/>
        </w:rPr>
      </w:pPr>
    </w:p>
    <w:p>
      <w:pPr>
        <w:spacing w:line="240" w:lineRule="exact"/>
        <w:rPr>
          <w:rFonts w:hint="default" w:cs="宋体"/>
          <w:sz w:val="20"/>
          <w:szCs w:val="20"/>
        </w:rPr>
      </w:pPr>
      <w:r>
        <w:rPr>
          <w:rFonts w:cs="宋体"/>
          <w:sz w:val="20"/>
          <w:szCs w:val="20"/>
        </w:rPr>
        <w:t>备注：1.本表反映单位本年度的总收支和年末结转结余情况。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tbl>
      <w:tblPr>
        <w:tblStyle w:val="11"/>
        <w:tblW w:w="5059" w:type="pct"/>
        <w:tblInd w:w="0" w:type="dxa"/>
        <w:tblLayout w:type="fixed"/>
        <w:tblCellMar>
          <w:top w:w="0" w:type="dxa"/>
          <w:left w:w="0" w:type="dxa"/>
          <w:bottom w:w="0" w:type="dxa"/>
          <w:right w:w="0" w:type="dxa"/>
        </w:tblCellMar>
      </w:tblPr>
      <w:tblGrid>
        <w:gridCol w:w="1430"/>
        <w:gridCol w:w="2919"/>
        <w:gridCol w:w="1582"/>
        <w:gridCol w:w="1451"/>
        <w:gridCol w:w="1256"/>
        <w:gridCol w:w="1438"/>
        <w:gridCol w:w="1459"/>
        <w:gridCol w:w="1296"/>
        <w:gridCol w:w="1350"/>
        <w:gridCol w:w="1322"/>
      </w:tblGrid>
      <w:tr>
        <w:tblPrEx>
          <w:tblCellMar>
            <w:top w:w="0" w:type="dxa"/>
            <w:left w:w="0" w:type="dxa"/>
            <w:bottom w:w="0" w:type="dxa"/>
            <w:right w:w="0" w:type="dxa"/>
          </w:tblCellMar>
        </w:tblPrEx>
        <w:trPr>
          <w:trHeight w:val="641" w:hRule="atLeast"/>
        </w:trPr>
        <w:tc>
          <w:tcPr>
            <w:tcW w:w="5000" w:type="pct"/>
            <w:gridSpan w:val="10"/>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收入决算表</w:t>
            </w:r>
          </w:p>
        </w:tc>
      </w:tr>
      <w:tr>
        <w:tblPrEx>
          <w:tblCellMar>
            <w:top w:w="0" w:type="dxa"/>
            <w:left w:w="0" w:type="dxa"/>
            <w:bottom w:w="0" w:type="dxa"/>
            <w:right w:w="0" w:type="dxa"/>
          </w:tblCellMar>
        </w:tblPrEx>
        <w:trPr>
          <w:trHeight w:val="328" w:hRule="atLeast"/>
        </w:trPr>
        <w:tc>
          <w:tcPr>
            <w:tcW w:w="1912" w:type="pct"/>
            <w:gridSpan w:val="3"/>
            <w:vMerge w:val="restart"/>
            <w:tcBorders>
              <w:top w:val="nil"/>
              <w:left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default" w:cs="宋体"/>
                <w:color w:val="000000"/>
                <w:sz w:val="20"/>
                <w:szCs w:val="20"/>
              </w:rPr>
            </w:pPr>
            <w:r>
              <w:rPr>
                <w:rFonts w:cs="宋体"/>
                <w:sz w:val="20"/>
                <w:szCs w:val="20"/>
              </w:rPr>
              <w:t>单位：</w:t>
            </w:r>
            <w:r>
              <w:rPr>
                <w:sz w:val="20"/>
                <w:u w:color="auto"/>
              </w:rPr>
              <w:t>重庆市大足区智凤街道社区事务服务中心</w:t>
            </w:r>
          </w:p>
        </w:tc>
        <w:tc>
          <w:tcPr>
            <w:tcW w:w="467"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6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70"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17"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3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26" w:type="pct"/>
            <w:tcBorders>
              <w:top w:val="nil"/>
              <w:left w:val="nil"/>
              <w:bottom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jc w:val="right"/>
              <w:textAlignment w:val="bottom"/>
              <w:rPr>
                <w:rFonts w:hint="default" w:cs="宋体"/>
                <w:color w:val="000000"/>
                <w:sz w:val="20"/>
                <w:szCs w:val="20"/>
              </w:rPr>
            </w:pPr>
            <w:r>
              <w:rPr>
                <w:rFonts w:cs="宋体"/>
                <w:color w:val="000000"/>
                <w:sz w:val="20"/>
                <w:szCs w:val="20"/>
              </w:rPr>
              <w:t>公开</w:t>
            </w:r>
            <w:r>
              <w:rPr>
                <w:rFonts w:hint="default" w:ascii="Times New Roman" w:hAnsi="Times New Roman" w:cs="Times New Roman"/>
                <w:color w:val="000000"/>
                <w:sz w:val="20"/>
                <w:szCs w:val="20"/>
              </w:rPr>
              <w:t>02</w:t>
            </w:r>
            <w:r>
              <w:rPr>
                <w:rFonts w:cs="宋体"/>
                <w:color w:val="000000"/>
                <w:sz w:val="20"/>
                <w:szCs w:val="20"/>
              </w:rPr>
              <w:t>表</w:t>
            </w:r>
          </w:p>
        </w:tc>
      </w:tr>
      <w:tr>
        <w:tblPrEx>
          <w:tblCellMar>
            <w:top w:w="0" w:type="dxa"/>
            <w:left w:w="0" w:type="dxa"/>
            <w:bottom w:w="0" w:type="dxa"/>
            <w:right w:w="0" w:type="dxa"/>
          </w:tblCellMar>
        </w:tblPrEx>
        <w:trPr>
          <w:trHeight w:val="328" w:hRule="atLeast"/>
        </w:trPr>
        <w:tc>
          <w:tcPr>
            <w:tcW w:w="1912"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67"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6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70"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17"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3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26" w:type="pct"/>
            <w:tcBorders>
              <w:top w:val="nil"/>
              <w:left w:val="nil"/>
              <w:bottom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31" w:hRule="atLeast"/>
        </w:trPr>
        <w:tc>
          <w:tcPr>
            <w:tcW w:w="1402" w:type="pct"/>
            <w:gridSpan w:val="2"/>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51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本年收入合计</w:t>
            </w:r>
          </w:p>
        </w:tc>
        <w:tc>
          <w:tcPr>
            <w:tcW w:w="467"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财政拨款收入</w:t>
            </w:r>
          </w:p>
        </w:tc>
        <w:tc>
          <w:tcPr>
            <w:tcW w:w="40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上级补助收入</w:t>
            </w:r>
          </w:p>
        </w:tc>
        <w:tc>
          <w:tcPr>
            <w:tcW w:w="934"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事业收入</w:t>
            </w:r>
          </w:p>
        </w:tc>
        <w:tc>
          <w:tcPr>
            <w:tcW w:w="417"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经营收入</w:t>
            </w:r>
          </w:p>
        </w:tc>
        <w:tc>
          <w:tcPr>
            <w:tcW w:w="43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附属单位上缴收入</w:t>
            </w:r>
          </w:p>
        </w:tc>
        <w:tc>
          <w:tcPr>
            <w:tcW w:w="426"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其他收入</w:t>
            </w:r>
          </w:p>
        </w:tc>
      </w:tr>
      <w:tr>
        <w:tblPrEx>
          <w:tblCellMar>
            <w:top w:w="0" w:type="dxa"/>
            <w:left w:w="0" w:type="dxa"/>
            <w:bottom w:w="0" w:type="dxa"/>
            <w:right w:w="0" w:type="dxa"/>
          </w:tblCellMar>
        </w:tblPrEx>
        <w:trPr>
          <w:trHeight w:val="334" w:hRule="atLeast"/>
        </w:trPr>
        <w:tc>
          <w:tcPr>
            <w:tcW w:w="461" w:type="pct"/>
            <w:vMerge w:val="restar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941" w:type="pct"/>
            <w:vMerge w:val="restart"/>
            <w:tcBorders>
              <w:top w:val="nil"/>
              <w:left w:val="nil"/>
              <w:bottom w:val="single" w:color="000000" w:sz="4" w:space="0"/>
              <w:right w:val="nil"/>
            </w:tcBorders>
            <w:shd w:val="clear" w:color="auto" w:fill="auto"/>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1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46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4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46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小计</w:t>
            </w:r>
          </w:p>
        </w:tc>
        <w:tc>
          <w:tcPr>
            <w:tcW w:w="47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其中：教育收费</w:t>
            </w: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4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42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461" w:type="pct"/>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cs="宋体"/>
                <w:b/>
                <w:color w:val="000000"/>
                <w:sz w:val="20"/>
                <w:szCs w:val="20"/>
              </w:rPr>
            </w:pPr>
          </w:p>
        </w:tc>
        <w:tc>
          <w:tcPr>
            <w:tcW w:w="941" w:type="pct"/>
            <w:vMerge w:val="continue"/>
            <w:tcBorders>
              <w:top w:val="nil"/>
              <w:left w:val="nil"/>
              <w:bottom w:val="single" w:color="000000" w:sz="4" w:space="0"/>
              <w:right w:val="nil"/>
            </w:tcBorders>
            <w:shd w:val="clear" w:color="auto" w:fill="auto"/>
            <w:noWrap/>
            <w:tcMar>
              <w:top w:w="15" w:type="dxa"/>
              <w:left w:w="15" w:type="dxa"/>
              <w:right w:w="15" w:type="dxa"/>
            </w:tcMar>
            <w:vAlign w:val="center"/>
          </w:tcPr>
          <w:p>
            <w:pPr>
              <w:jc w:val="center"/>
              <w:rPr>
                <w:rFonts w:hint="default" w:cs="宋体"/>
                <w:b/>
                <w:color w:val="000000"/>
                <w:sz w:val="20"/>
                <w:szCs w:val="20"/>
              </w:rPr>
            </w:pPr>
          </w:p>
        </w:tc>
        <w:tc>
          <w:tcPr>
            <w:tcW w:w="51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46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4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46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47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4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42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461" w:type="pct"/>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cs="宋体"/>
                <w:b/>
                <w:color w:val="000000"/>
                <w:sz w:val="20"/>
                <w:szCs w:val="20"/>
              </w:rPr>
            </w:pPr>
          </w:p>
        </w:tc>
        <w:tc>
          <w:tcPr>
            <w:tcW w:w="941" w:type="pct"/>
            <w:vMerge w:val="continue"/>
            <w:tcBorders>
              <w:top w:val="nil"/>
              <w:left w:val="nil"/>
              <w:bottom w:val="single" w:color="000000" w:sz="4" w:space="0"/>
              <w:right w:val="nil"/>
            </w:tcBorders>
            <w:shd w:val="clear" w:color="auto" w:fill="auto"/>
            <w:noWrap/>
            <w:tcMar>
              <w:top w:w="15" w:type="dxa"/>
              <w:left w:w="15" w:type="dxa"/>
              <w:right w:w="15" w:type="dxa"/>
            </w:tcMar>
            <w:vAlign w:val="center"/>
          </w:tcPr>
          <w:p>
            <w:pPr>
              <w:jc w:val="center"/>
              <w:rPr>
                <w:rFonts w:hint="default" w:cs="宋体"/>
                <w:b/>
                <w:color w:val="000000"/>
                <w:sz w:val="20"/>
                <w:szCs w:val="20"/>
              </w:rPr>
            </w:pPr>
          </w:p>
        </w:tc>
        <w:tc>
          <w:tcPr>
            <w:tcW w:w="51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46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4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46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47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4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42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461" w:type="pct"/>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cs="宋体"/>
                <w:b/>
                <w:color w:val="000000"/>
                <w:sz w:val="20"/>
                <w:szCs w:val="20"/>
              </w:rPr>
            </w:pPr>
          </w:p>
        </w:tc>
        <w:tc>
          <w:tcPr>
            <w:tcW w:w="941" w:type="pct"/>
            <w:vMerge w:val="continue"/>
            <w:tcBorders>
              <w:top w:val="nil"/>
              <w:left w:val="nil"/>
              <w:bottom w:val="single" w:color="000000" w:sz="4" w:space="0"/>
              <w:right w:val="nil"/>
            </w:tcBorders>
            <w:shd w:val="clear" w:color="auto" w:fill="auto"/>
            <w:noWrap/>
            <w:tcMar>
              <w:top w:w="15" w:type="dxa"/>
              <w:left w:w="15" w:type="dxa"/>
              <w:right w:w="15" w:type="dxa"/>
            </w:tcMar>
            <w:vAlign w:val="center"/>
          </w:tcPr>
          <w:p>
            <w:pPr>
              <w:jc w:val="center"/>
              <w:rPr>
                <w:rFonts w:hint="default" w:cs="宋体"/>
                <w:b/>
                <w:color w:val="000000"/>
                <w:sz w:val="20"/>
                <w:szCs w:val="20"/>
              </w:rPr>
            </w:pPr>
          </w:p>
        </w:tc>
        <w:tc>
          <w:tcPr>
            <w:tcW w:w="51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46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4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46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47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4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42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1402"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1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bCs/>
                <w:color w:val="000000"/>
                <w:sz w:val="20"/>
                <w:szCs w:val="20"/>
              </w:rPr>
              <w:t>136.61</w:t>
            </w:r>
            <w:r>
              <w:rPr>
                <w:rFonts w:ascii="Times New Roman" w:hAnsi="Times New Roman"/>
                <w:b/>
                <w:color w:val="000000"/>
                <w:sz w:val="20"/>
                <w:u w:color="auto"/>
              </w:rPr>
              <w:t xml:space="preserve"> </w:t>
            </w:r>
          </w:p>
        </w:tc>
        <w:tc>
          <w:tcPr>
            <w:tcW w:w="46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bCs/>
                <w:color w:val="000000"/>
                <w:sz w:val="20"/>
                <w:szCs w:val="20"/>
              </w:rPr>
              <w:t>136.61</w:t>
            </w:r>
            <w:r>
              <w:rPr>
                <w:rFonts w:ascii="Times New Roman" w:hAnsi="Times New Roman"/>
                <w:b/>
                <w:color w:val="000000"/>
                <w:sz w:val="20"/>
                <w:u w:color="auto"/>
              </w:rPr>
              <w:t xml:space="preserve"> </w:t>
            </w:r>
          </w:p>
        </w:tc>
        <w:tc>
          <w:tcPr>
            <w:tcW w:w="40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bCs/>
                <w:color w:val="000000"/>
                <w:sz w:val="20"/>
                <w:szCs w:val="20"/>
              </w:rPr>
              <w:t>0.00</w:t>
            </w:r>
            <w:r>
              <w:rPr>
                <w:rFonts w:ascii="Times New Roman" w:hAnsi="Times New Roman"/>
                <w:b/>
                <w:color w:val="000000"/>
                <w:sz w:val="20"/>
                <w:u w:color="auto"/>
              </w:rPr>
              <w:t xml:space="preserve"> </w:t>
            </w:r>
          </w:p>
        </w:tc>
        <w:tc>
          <w:tcPr>
            <w:tcW w:w="4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bCs/>
                <w:color w:val="000000"/>
                <w:sz w:val="20"/>
                <w:szCs w:val="20"/>
              </w:rPr>
              <w:t>0.00</w:t>
            </w:r>
            <w:r>
              <w:rPr>
                <w:rFonts w:ascii="Times New Roman" w:hAnsi="Times New Roman"/>
                <w:b/>
                <w:color w:val="000000"/>
                <w:sz w:val="20"/>
                <w:u w:color="auto"/>
              </w:rPr>
              <w:t xml:space="preserve"> </w:t>
            </w:r>
          </w:p>
        </w:tc>
        <w:tc>
          <w:tcPr>
            <w:tcW w:w="47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bCs/>
                <w:color w:val="000000"/>
                <w:sz w:val="20"/>
                <w:szCs w:val="20"/>
              </w:rPr>
              <w:t>0.00</w:t>
            </w:r>
            <w:r>
              <w:rPr>
                <w:rFonts w:ascii="Times New Roman" w:hAnsi="Times New Roman"/>
                <w:b/>
                <w:color w:val="000000"/>
                <w:sz w:val="20"/>
                <w:u w:color="auto"/>
              </w:rPr>
              <w:t xml:space="preserve"> </w:t>
            </w:r>
          </w:p>
        </w:tc>
        <w:tc>
          <w:tcPr>
            <w:tcW w:w="4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bCs/>
                <w:color w:val="000000"/>
                <w:sz w:val="20"/>
                <w:szCs w:val="20"/>
              </w:rPr>
              <w:t>0.00</w:t>
            </w:r>
            <w:r>
              <w:rPr>
                <w:rFonts w:ascii="Times New Roman" w:hAnsi="Times New Roman"/>
                <w:b/>
                <w:color w:val="000000"/>
                <w:sz w:val="20"/>
                <w:u w:color="auto"/>
              </w:rPr>
              <w:t xml:space="preserve"> </w:t>
            </w:r>
          </w:p>
        </w:tc>
        <w:tc>
          <w:tcPr>
            <w:tcW w:w="43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bCs/>
                <w:color w:val="000000"/>
                <w:sz w:val="20"/>
                <w:szCs w:val="20"/>
              </w:rPr>
              <w:t>0.00</w:t>
            </w:r>
            <w:r>
              <w:rPr>
                <w:rFonts w:ascii="Times New Roman" w:hAnsi="Times New Roman"/>
                <w:b/>
                <w:color w:val="000000"/>
                <w:sz w:val="20"/>
                <w:u w:color="auto"/>
              </w:rPr>
              <w:t xml:space="preserve"> </w:t>
            </w:r>
          </w:p>
        </w:tc>
        <w:tc>
          <w:tcPr>
            <w:tcW w:w="42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bCs/>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48" w:hRule="atLeast"/>
        </w:trPr>
        <w:tc>
          <w:tcPr>
            <w:tcW w:w="46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94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13.82</w:t>
            </w:r>
            <w:r>
              <w:rPr>
                <w:rFonts w:ascii="Times New Roman" w:hAnsi="Times New Roman"/>
                <w:b/>
                <w:color w:val="000000"/>
                <w:sz w:val="20"/>
                <w:u w:color="auto"/>
              </w:rPr>
              <w:t xml:space="preserve">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13.82</w:t>
            </w:r>
            <w:r>
              <w:rPr>
                <w:rFonts w:ascii="Times New Roman" w:hAnsi="Times New Roman"/>
                <w:b/>
                <w:color w:val="000000"/>
                <w:sz w:val="20"/>
                <w:u w:color="auto"/>
              </w:rPr>
              <w:t xml:space="preserve"> </w:t>
            </w:r>
          </w:p>
        </w:tc>
        <w:tc>
          <w:tcPr>
            <w:tcW w:w="40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48" w:hRule="atLeast"/>
        </w:trPr>
        <w:tc>
          <w:tcPr>
            <w:tcW w:w="46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94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13.65</w:t>
            </w:r>
            <w:r>
              <w:rPr>
                <w:rFonts w:ascii="Times New Roman" w:hAnsi="Times New Roman"/>
                <w:b/>
                <w:color w:val="000000"/>
                <w:sz w:val="20"/>
                <w:u w:color="auto"/>
              </w:rPr>
              <w:t xml:space="preserve">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13.65</w:t>
            </w:r>
            <w:r>
              <w:rPr>
                <w:rFonts w:ascii="Times New Roman" w:hAnsi="Times New Roman"/>
                <w:b/>
                <w:color w:val="000000"/>
                <w:sz w:val="20"/>
                <w:u w:color="auto"/>
              </w:rPr>
              <w:t xml:space="preserve"> </w:t>
            </w:r>
          </w:p>
        </w:tc>
        <w:tc>
          <w:tcPr>
            <w:tcW w:w="40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48" w:hRule="atLeast"/>
        </w:trPr>
        <w:tc>
          <w:tcPr>
            <w:tcW w:w="46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94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9.10</w:t>
            </w:r>
            <w:r>
              <w:rPr>
                <w:rFonts w:ascii="Times New Roman" w:hAnsi="Times New Roman"/>
                <w:color w:val="000000"/>
                <w:sz w:val="20"/>
                <w:u w:color="auto"/>
              </w:rPr>
              <w:t xml:space="preserve">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9.10</w:t>
            </w:r>
            <w:r>
              <w:rPr>
                <w:rFonts w:ascii="Times New Roman" w:hAnsi="Times New Roman"/>
                <w:color w:val="000000"/>
                <w:sz w:val="20"/>
                <w:u w:color="auto"/>
              </w:rPr>
              <w:t xml:space="preserve"> </w:t>
            </w:r>
          </w:p>
        </w:tc>
        <w:tc>
          <w:tcPr>
            <w:tcW w:w="40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348" w:hRule="atLeast"/>
        </w:trPr>
        <w:tc>
          <w:tcPr>
            <w:tcW w:w="46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94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4.55</w:t>
            </w:r>
            <w:r>
              <w:rPr>
                <w:rFonts w:ascii="Times New Roman" w:hAnsi="Times New Roman"/>
                <w:color w:val="000000"/>
                <w:sz w:val="20"/>
                <w:u w:color="auto"/>
              </w:rPr>
              <w:t xml:space="preserve">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4.55</w:t>
            </w:r>
            <w:r>
              <w:rPr>
                <w:rFonts w:ascii="Times New Roman" w:hAnsi="Times New Roman"/>
                <w:color w:val="000000"/>
                <w:sz w:val="20"/>
                <w:u w:color="auto"/>
              </w:rPr>
              <w:t xml:space="preserve"> </w:t>
            </w:r>
          </w:p>
        </w:tc>
        <w:tc>
          <w:tcPr>
            <w:tcW w:w="40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348" w:hRule="atLeast"/>
        </w:trPr>
        <w:tc>
          <w:tcPr>
            <w:tcW w:w="46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20899</w:t>
            </w:r>
          </w:p>
        </w:tc>
        <w:tc>
          <w:tcPr>
            <w:tcW w:w="94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其他社会保障和就业支出</w:t>
            </w: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0.17</w:t>
            </w:r>
            <w:r>
              <w:rPr>
                <w:rFonts w:ascii="Times New Roman" w:hAnsi="Times New Roman"/>
                <w:b/>
                <w:color w:val="000000"/>
                <w:sz w:val="20"/>
                <w:u w:color="auto"/>
              </w:rPr>
              <w:t xml:space="preserve">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0.17</w:t>
            </w:r>
            <w:r>
              <w:rPr>
                <w:rFonts w:ascii="Times New Roman" w:hAnsi="Times New Roman"/>
                <w:b/>
                <w:color w:val="000000"/>
                <w:sz w:val="20"/>
                <w:u w:color="auto"/>
              </w:rPr>
              <w:t xml:space="preserve"> </w:t>
            </w:r>
          </w:p>
        </w:tc>
        <w:tc>
          <w:tcPr>
            <w:tcW w:w="40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48" w:hRule="atLeast"/>
        </w:trPr>
        <w:tc>
          <w:tcPr>
            <w:tcW w:w="46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2089999</w:t>
            </w:r>
          </w:p>
        </w:tc>
        <w:tc>
          <w:tcPr>
            <w:tcW w:w="94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其他社会保障和就业支出</w:t>
            </w: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0.17</w:t>
            </w:r>
            <w:r>
              <w:rPr>
                <w:rFonts w:ascii="Times New Roman" w:hAnsi="Times New Roman"/>
                <w:color w:val="000000"/>
                <w:sz w:val="20"/>
                <w:u w:color="auto"/>
              </w:rPr>
              <w:t xml:space="preserve">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0.17</w:t>
            </w:r>
            <w:r>
              <w:rPr>
                <w:rFonts w:ascii="Times New Roman" w:hAnsi="Times New Roman"/>
                <w:color w:val="000000"/>
                <w:sz w:val="20"/>
                <w:u w:color="auto"/>
              </w:rPr>
              <w:t xml:space="preserve"> </w:t>
            </w:r>
          </w:p>
        </w:tc>
        <w:tc>
          <w:tcPr>
            <w:tcW w:w="40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348" w:hRule="atLeast"/>
        </w:trPr>
        <w:tc>
          <w:tcPr>
            <w:tcW w:w="46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94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6.97</w:t>
            </w:r>
            <w:r>
              <w:rPr>
                <w:rFonts w:ascii="Times New Roman" w:hAnsi="Times New Roman"/>
                <w:b/>
                <w:color w:val="000000"/>
                <w:sz w:val="20"/>
                <w:u w:color="auto"/>
              </w:rPr>
              <w:t xml:space="preserve">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6.97</w:t>
            </w:r>
            <w:r>
              <w:rPr>
                <w:rFonts w:ascii="Times New Roman" w:hAnsi="Times New Roman"/>
                <w:b/>
                <w:color w:val="000000"/>
                <w:sz w:val="20"/>
                <w:u w:color="auto"/>
              </w:rPr>
              <w:t xml:space="preserve"> </w:t>
            </w:r>
          </w:p>
        </w:tc>
        <w:tc>
          <w:tcPr>
            <w:tcW w:w="40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48" w:hRule="atLeast"/>
        </w:trPr>
        <w:tc>
          <w:tcPr>
            <w:tcW w:w="46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94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6.97</w:t>
            </w:r>
            <w:r>
              <w:rPr>
                <w:rFonts w:ascii="Times New Roman" w:hAnsi="Times New Roman"/>
                <w:b/>
                <w:color w:val="000000"/>
                <w:sz w:val="20"/>
                <w:u w:color="auto"/>
              </w:rPr>
              <w:t xml:space="preserve">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6.97</w:t>
            </w:r>
            <w:r>
              <w:rPr>
                <w:rFonts w:ascii="Times New Roman" w:hAnsi="Times New Roman"/>
                <w:b/>
                <w:color w:val="000000"/>
                <w:sz w:val="20"/>
                <w:u w:color="auto"/>
              </w:rPr>
              <w:t xml:space="preserve"> </w:t>
            </w:r>
          </w:p>
        </w:tc>
        <w:tc>
          <w:tcPr>
            <w:tcW w:w="40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48" w:hRule="atLeast"/>
        </w:trPr>
        <w:tc>
          <w:tcPr>
            <w:tcW w:w="46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94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5.69</w:t>
            </w:r>
            <w:r>
              <w:rPr>
                <w:rFonts w:ascii="Times New Roman" w:hAnsi="Times New Roman"/>
                <w:color w:val="000000"/>
                <w:sz w:val="20"/>
                <w:u w:color="auto"/>
              </w:rPr>
              <w:t xml:space="preserve">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5.69</w:t>
            </w:r>
            <w:r>
              <w:rPr>
                <w:rFonts w:ascii="Times New Roman" w:hAnsi="Times New Roman"/>
                <w:color w:val="000000"/>
                <w:sz w:val="20"/>
                <w:u w:color="auto"/>
              </w:rPr>
              <w:t xml:space="preserve"> </w:t>
            </w:r>
          </w:p>
        </w:tc>
        <w:tc>
          <w:tcPr>
            <w:tcW w:w="40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348" w:hRule="atLeast"/>
        </w:trPr>
        <w:tc>
          <w:tcPr>
            <w:tcW w:w="46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94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1.28</w:t>
            </w:r>
            <w:r>
              <w:rPr>
                <w:rFonts w:ascii="Times New Roman" w:hAnsi="Times New Roman"/>
                <w:color w:val="000000"/>
                <w:sz w:val="20"/>
                <w:u w:color="auto"/>
              </w:rPr>
              <w:t xml:space="preserve">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1.28</w:t>
            </w:r>
            <w:r>
              <w:rPr>
                <w:rFonts w:ascii="Times New Roman" w:hAnsi="Times New Roman"/>
                <w:color w:val="000000"/>
                <w:sz w:val="20"/>
                <w:u w:color="auto"/>
              </w:rPr>
              <w:t xml:space="preserve"> </w:t>
            </w:r>
          </w:p>
        </w:tc>
        <w:tc>
          <w:tcPr>
            <w:tcW w:w="40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348" w:hRule="atLeast"/>
        </w:trPr>
        <w:tc>
          <w:tcPr>
            <w:tcW w:w="46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w:t>
            </w:r>
          </w:p>
        </w:tc>
        <w:tc>
          <w:tcPr>
            <w:tcW w:w="94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城乡社区支出</w:t>
            </w: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108.99</w:t>
            </w:r>
            <w:r>
              <w:rPr>
                <w:rFonts w:ascii="Times New Roman" w:hAnsi="Times New Roman"/>
                <w:b/>
                <w:color w:val="000000"/>
                <w:sz w:val="20"/>
                <w:u w:color="auto"/>
              </w:rPr>
              <w:t xml:space="preserve">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108.99</w:t>
            </w:r>
            <w:r>
              <w:rPr>
                <w:rFonts w:ascii="Times New Roman" w:hAnsi="Times New Roman"/>
                <w:b/>
                <w:color w:val="000000"/>
                <w:sz w:val="20"/>
                <w:u w:color="auto"/>
              </w:rPr>
              <w:t xml:space="preserve"> </w:t>
            </w:r>
          </w:p>
        </w:tc>
        <w:tc>
          <w:tcPr>
            <w:tcW w:w="40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48" w:hRule="atLeast"/>
        </w:trPr>
        <w:tc>
          <w:tcPr>
            <w:tcW w:w="46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21201</w:t>
            </w:r>
          </w:p>
        </w:tc>
        <w:tc>
          <w:tcPr>
            <w:tcW w:w="94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城乡社区管理事务</w:t>
            </w: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108.99</w:t>
            </w:r>
            <w:r>
              <w:rPr>
                <w:rFonts w:ascii="Times New Roman" w:hAnsi="Times New Roman"/>
                <w:b/>
                <w:color w:val="000000"/>
                <w:sz w:val="20"/>
                <w:u w:color="auto"/>
              </w:rPr>
              <w:t xml:space="preserve">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108.99</w:t>
            </w:r>
            <w:r>
              <w:rPr>
                <w:rFonts w:ascii="Times New Roman" w:hAnsi="Times New Roman"/>
                <w:b/>
                <w:color w:val="000000"/>
                <w:sz w:val="20"/>
                <w:u w:color="auto"/>
              </w:rPr>
              <w:t xml:space="preserve"> </w:t>
            </w:r>
          </w:p>
        </w:tc>
        <w:tc>
          <w:tcPr>
            <w:tcW w:w="40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48" w:hRule="atLeast"/>
        </w:trPr>
        <w:tc>
          <w:tcPr>
            <w:tcW w:w="46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2120199</w:t>
            </w:r>
          </w:p>
        </w:tc>
        <w:tc>
          <w:tcPr>
            <w:tcW w:w="94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其他城乡社区管理事务支出</w:t>
            </w: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108.99</w:t>
            </w:r>
            <w:r>
              <w:rPr>
                <w:rFonts w:ascii="Times New Roman" w:hAnsi="Times New Roman"/>
                <w:color w:val="000000"/>
                <w:sz w:val="20"/>
                <w:u w:color="auto"/>
              </w:rPr>
              <w:t xml:space="preserve">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108.99</w:t>
            </w:r>
            <w:r>
              <w:rPr>
                <w:rFonts w:ascii="Times New Roman" w:hAnsi="Times New Roman"/>
                <w:color w:val="000000"/>
                <w:sz w:val="20"/>
                <w:u w:color="auto"/>
              </w:rPr>
              <w:t xml:space="preserve"> </w:t>
            </w:r>
          </w:p>
        </w:tc>
        <w:tc>
          <w:tcPr>
            <w:tcW w:w="40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348" w:hRule="atLeast"/>
        </w:trPr>
        <w:tc>
          <w:tcPr>
            <w:tcW w:w="46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94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6.83</w:t>
            </w:r>
            <w:r>
              <w:rPr>
                <w:rFonts w:ascii="Times New Roman" w:hAnsi="Times New Roman"/>
                <w:b/>
                <w:color w:val="000000"/>
                <w:sz w:val="20"/>
                <w:u w:color="auto"/>
              </w:rPr>
              <w:t xml:space="preserve">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6.83</w:t>
            </w:r>
            <w:r>
              <w:rPr>
                <w:rFonts w:ascii="Times New Roman" w:hAnsi="Times New Roman"/>
                <w:b/>
                <w:color w:val="000000"/>
                <w:sz w:val="20"/>
                <w:u w:color="auto"/>
              </w:rPr>
              <w:t xml:space="preserve"> </w:t>
            </w:r>
          </w:p>
        </w:tc>
        <w:tc>
          <w:tcPr>
            <w:tcW w:w="40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48" w:hRule="atLeast"/>
        </w:trPr>
        <w:tc>
          <w:tcPr>
            <w:tcW w:w="46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94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6.83</w:t>
            </w:r>
            <w:r>
              <w:rPr>
                <w:rFonts w:ascii="Times New Roman" w:hAnsi="Times New Roman"/>
                <w:b/>
                <w:color w:val="000000"/>
                <w:sz w:val="20"/>
                <w:u w:color="auto"/>
              </w:rPr>
              <w:t xml:space="preserve">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6.83</w:t>
            </w:r>
            <w:r>
              <w:rPr>
                <w:rFonts w:ascii="Times New Roman" w:hAnsi="Times New Roman"/>
                <w:b/>
                <w:color w:val="000000"/>
                <w:sz w:val="20"/>
                <w:u w:color="auto"/>
              </w:rPr>
              <w:t xml:space="preserve"> </w:t>
            </w:r>
          </w:p>
        </w:tc>
        <w:tc>
          <w:tcPr>
            <w:tcW w:w="40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48" w:hRule="atLeast"/>
        </w:trPr>
        <w:tc>
          <w:tcPr>
            <w:tcW w:w="46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94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6.83</w:t>
            </w:r>
            <w:r>
              <w:rPr>
                <w:rFonts w:ascii="Times New Roman" w:hAnsi="Times New Roman"/>
                <w:color w:val="000000"/>
                <w:sz w:val="20"/>
                <w:u w:color="auto"/>
              </w:rPr>
              <w:t xml:space="preserve">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6.83</w:t>
            </w:r>
            <w:r>
              <w:rPr>
                <w:rFonts w:ascii="Times New Roman" w:hAnsi="Times New Roman"/>
                <w:color w:val="000000"/>
                <w:sz w:val="20"/>
                <w:u w:color="auto"/>
              </w:rPr>
              <w:t xml:space="preserve"> </w:t>
            </w:r>
          </w:p>
        </w:tc>
        <w:tc>
          <w:tcPr>
            <w:tcW w:w="40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r>
    </w:tbl>
    <w:p>
      <w:pPr>
        <w:ind w:left="600" w:hanging="600" w:hangingChars="300"/>
        <w:rPr>
          <w:rFonts w:hint="default" w:cs="宋体"/>
          <w:sz w:val="20"/>
          <w:szCs w:val="20"/>
        </w:rPr>
      </w:pPr>
      <w:r>
        <w:rPr>
          <w:rFonts w:cs="宋体"/>
          <w:sz w:val="20"/>
          <w:szCs w:val="20"/>
        </w:rPr>
        <w:t>备注：1.本表反映单位本年度取得的各项收入情况。</w:t>
      </w:r>
      <w:r>
        <w:rPr>
          <w:rFonts w:cs="宋体"/>
          <w:sz w:val="20"/>
          <w:szCs w:val="20"/>
        </w:rPr>
        <w:br w:type="textWrapping"/>
      </w:r>
      <w:r>
        <w:rPr>
          <w:rFonts w:cs="宋体"/>
          <w:sz w:val="20"/>
          <w:szCs w:val="20"/>
        </w:rPr>
        <w:t>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0"/>
          <w:szCs w:val="20"/>
        </w:rPr>
      </w:pPr>
      <w:r>
        <w:rPr>
          <w:rFonts w:cs="宋体"/>
          <w:sz w:val="20"/>
          <w:szCs w:val="20"/>
        </w:rPr>
        <w:br w:type="page"/>
      </w:r>
    </w:p>
    <w:tbl>
      <w:tblPr>
        <w:tblStyle w:val="11"/>
        <w:tblW w:w="5000" w:type="pct"/>
        <w:tblInd w:w="0" w:type="dxa"/>
        <w:tblLayout w:type="fixed"/>
        <w:tblCellMar>
          <w:top w:w="0" w:type="dxa"/>
          <w:left w:w="0" w:type="dxa"/>
          <w:bottom w:w="0" w:type="dxa"/>
          <w:right w:w="0" w:type="dxa"/>
        </w:tblCellMar>
      </w:tblPr>
      <w:tblGrid>
        <w:gridCol w:w="1292"/>
        <w:gridCol w:w="3602"/>
        <w:gridCol w:w="1841"/>
        <w:gridCol w:w="1765"/>
        <w:gridCol w:w="1624"/>
        <w:gridCol w:w="1557"/>
        <w:gridCol w:w="1692"/>
        <w:gridCol w:w="1949"/>
      </w:tblGrid>
      <w:tr>
        <w:tblPrEx>
          <w:tblCellMar>
            <w:top w:w="0" w:type="dxa"/>
            <w:left w:w="0" w:type="dxa"/>
            <w:bottom w:w="0" w:type="dxa"/>
            <w:right w:w="0" w:type="dxa"/>
          </w:tblCellMar>
        </w:tblPrEx>
        <w:trPr>
          <w:trHeight w:val="65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支出决算表</w:t>
            </w:r>
          </w:p>
        </w:tc>
      </w:tr>
      <w:tr>
        <w:tblPrEx>
          <w:tblCellMar>
            <w:top w:w="0" w:type="dxa"/>
            <w:left w:w="0" w:type="dxa"/>
            <w:bottom w:w="0" w:type="dxa"/>
            <w:right w:w="0" w:type="dxa"/>
          </w:tblCellMar>
        </w:tblPrEx>
        <w:trPr>
          <w:trHeight w:val="342" w:hRule="atLeast"/>
        </w:trPr>
        <w:tc>
          <w:tcPr>
            <w:tcW w:w="2197"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单位</w:t>
            </w:r>
            <w:r>
              <w:rPr>
                <w:rFonts w:cs="宋体"/>
                <w:color w:val="000000"/>
                <w:sz w:val="20"/>
                <w:szCs w:val="20"/>
              </w:rPr>
              <w:t>：</w:t>
            </w:r>
            <w:r>
              <w:rPr>
                <w:color w:val="000000"/>
                <w:sz w:val="20"/>
                <w:u w:color="auto"/>
              </w:rPr>
              <w:t xml:space="preserve">重庆市大足区智凤街道社区事务服务中心 </w:t>
            </w:r>
          </w:p>
        </w:tc>
        <w:tc>
          <w:tcPr>
            <w:tcW w:w="57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29"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0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2"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636" w:type="pct"/>
            <w:tcBorders>
              <w:top w:val="nil"/>
              <w:left w:val="nil"/>
              <w:bottom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jc w:val="right"/>
              <w:textAlignment w:val="bottom"/>
              <w:rPr>
                <w:rFonts w:hint="default" w:cs="宋体"/>
                <w:color w:val="000000"/>
                <w:sz w:val="20"/>
                <w:szCs w:val="20"/>
              </w:rPr>
            </w:pPr>
            <w:r>
              <w:rPr>
                <w:rFonts w:cs="宋体"/>
                <w:color w:val="000000"/>
                <w:sz w:val="20"/>
                <w:szCs w:val="20"/>
              </w:rPr>
              <w:t>公开</w:t>
            </w:r>
            <w:r>
              <w:rPr>
                <w:rFonts w:hint="default" w:ascii="Times New Roman" w:hAnsi="Times New Roman" w:cs="Times New Roman"/>
                <w:color w:val="000000"/>
                <w:sz w:val="20"/>
                <w:szCs w:val="20"/>
              </w:rPr>
              <w:t>03</w:t>
            </w:r>
            <w:r>
              <w:rPr>
                <w:rFonts w:cs="宋体"/>
                <w:color w:val="000000"/>
                <w:sz w:val="20"/>
                <w:szCs w:val="20"/>
              </w:rPr>
              <w:t>表</w:t>
            </w:r>
          </w:p>
        </w:tc>
      </w:tr>
      <w:tr>
        <w:tblPrEx>
          <w:tblCellMar>
            <w:top w:w="0" w:type="dxa"/>
            <w:left w:w="0" w:type="dxa"/>
            <w:bottom w:w="0" w:type="dxa"/>
            <w:right w:w="0" w:type="dxa"/>
          </w:tblCellMar>
        </w:tblPrEx>
        <w:trPr>
          <w:trHeight w:val="342" w:hRule="atLeast"/>
        </w:trPr>
        <w:tc>
          <w:tcPr>
            <w:tcW w:w="2197"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7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29"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0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2"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636" w:type="pct"/>
            <w:tcBorders>
              <w:top w:val="nil"/>
              <w:left w:val="nil"/>
              <w:bottom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62" w:hRule="atLeast"/>
        </w:trPr>
        <w:tc>
          <w:tcPr>
            <w:tcW w:w="1597"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60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本年支出合计</w:t>
            </w:r>
          </w:p>
        </w:tc>
        <w:tc>
          <w:tcPr>
            <w:tcW w:w="57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529"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50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上缴上级支出</w:t>
            </w:r>
          </w:p>
        </w:tc>
        <w:tc>
          <w:tcPr>
            <w:tcW w:w="55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经营支出</w:t>
            </w:r>
          </w:p>
        </w:tc>
        <w:tc>
          <w:tcPr>
            <w:tcW w:w="636"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对附属单位补助支出</w:t>
            </w:r>
          </w:p>
        </w:tc>
      </w:tr>
      <w:tr>
        <w:tblPrEx>
          <w:tblCellMar>
            <w:top w:w="0" w:type="dxa"/>
            <w:left w:w="0" w:type="dxa"/>
            <w:bottom w:w="0" w:type="dxa"/>
            <w:right w:w="0" w:type="dxa"/>
          </w:tblCellMar>
        </w:tblPrEx>
        <w:trPr>
          <w:trHeight w:val="338" w:hRule="atLeast"/>
        </w:trPr>
        <w:tc>
          <w:tcPr>
            <w:tcW w:w="421" w:type="pct"/>
            <w:vMerge w:val="restar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175" w:type="pct"/>
            <w:vMerge w:val="restart"/>
            <w:tcBorders>
              <w:top w:val="nil"/>
              <w:left w:val="nil"/>
              <w:bottom w:val="single" w:color="000000" w:sz="4" w:space="0"/>
              <w:right w:val="nil"/>
            </w:tcBorders>
            <w:shd w:val="clear" w:color="auto" w:fill="auto"/>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60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57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52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5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6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421" w:type="pct"/>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cs="宋体"/>
                <w:b/>
                <w:color w:val="000000"/>
                <w:sz w:val="20"/>
                <w:szCs w:val="20"/>
              </w:rPr>
            </w:pPr>
          </w:p>
        </w:tc>
        <w:tc>
          <w:tcPr>
            <w:tcW w:w="1175" w:type="pct"/>
            <w:vMerge w:val="continue"/>
            <w:tcBorders>
              <w:top w:val="nil"/>
              <w:left w:val="nil"/>
              <w:bottom w:val="single" w:color="000000" w:sz="4" w:space="0"/>
              <w:right w:val="nil"/>
            </w:tcBorders>
            <w:shd w:val="clear" w:color="auto" w:fill="auto"/>
            <w:noWrap/>
            <w:tcMar>
              <w:top w:w="15" w:type="dxa"/>
              <w:left w:w="15" w:type="dxa"/>
              <w:right w:w="15" w:type="dxa"/>
            </w:tcMar>
            <w:vAlign w:val="center"/>
          </w:tcPr>
          <w:p>
            <w:pPr>
              <w:jc w:val="center"/>
              <w:rPr>
                <w:rFonts w:hint="default" w:cs="宋体"/>
                <w:b/>
                <w:color w:val="000000"/>
                <w:sz w:val="20"/>
                <w:szCs w:val="20"/>
              </w:rPr>
            </w:pPr>
          </w:p>
        </w:tc>
        <w:tc>
          <w:tcPr>
            <w:tcW w:w="60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57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52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5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6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421" w:type="pct"/>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cs="宋体"/>
                <w:b/>
                <w:color w:val="000000"/>
                <w:sz w:val="20"/>
                <w:szCs w:val="20"/>
              </w:rPr>
            </w:pPr>
          </w:p>
        </w:tc>
        <w:tc>
          <w:tcPr>
            <w:tcW w:w="1175" w:type="pct"/>
            <w:vMerge w:val="continue"/>
            <w:tcBorders>
              <w:top w:val="nil"/>
              <w:left w:val="nil"/>
              <w:bottom w:val="single" w:color="000000" w:sz="4" w:space="0"/>
              <w:right w:val="nil"/>
            </w:tcBorders>
            <w:shd w:val="clear" w:color="auto" w:fill="auto"/>
            <w:noWrap/>
            <w:tcMar>
              <w:top w:w="15" w:type="dxa"/>
              <w:left w:w="15" w:type="dxa"/>
              <w:right w:w="15" w:type="dxa"/>
            </w:tcMar>
            <w:vAlign w:val="center"/>
          </w:tcPr>
          <w:p>
            <w:pPr>
              <w:jc w:val="center"/>
              <w:rPr>
                <w:rFonts w:hint="default" w:cs="宋体"/>
                <w:b/>
                <w:color w:val="000000"/>
                <w:sz w:val="20"/>
                <w:szCs w:val="20"/>
              </w:rPr>
            </w:pPr>
          </w:p>
        </w:tc>
        <w:tc>
          <w:tcPr>
            <w:tcW w:w="60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57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52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5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6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421" w:type="pct"/>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cs="宋体"/>
                <w:b/>
                <w:color w:val="000000"/>
                <w:sz w:val="20"/>
                <w:szCs w:val="20"/>
              </w:rPr>
            </w:pPr>
          </w:p>
        </w:tc>
        <w:tc>
          <w:tcPr>
            <w:tcW w:w="1175" w:type="pct"/>
            <w:vMerge w:val="continue"/>
            <w:tcBorders>
              <w:top w:val="nil"/>
              <w:left w:val="nil"/>
              <w:bottom w:val="single" w:color="000000" w:sz="4" w:space="0"/>
              <w:right w:val="nil"/>
            </w:tcBorders>
            <w:shd w:val="clear" w:color="auto" w:fill="auto"/>
            <w:noWrap/>
            <w:tcMar>
              <w:top w:w="15" w:type="dxa"/>
              <w:left w:w="15" w:type="dxa"/>
              <w:right w:w="15" w:type="dxa"/>
            </w:tcMar>
            <w:vAlign w:val="center"/>
          </w:tcPr>
          <w:p>
            <w:pPr>
              <w:jc w:val="center"/>
              <w:rPr>
                <w:rFonts w:hint="default" w:cs="宋体"/>
                <w:b/>
                <w:color w:val="000000"/>
                <w:sz w:val="20"/>
                <w:szCs w:val="20"/>
              </w:rPr>
            </w:pPr>
          </w:p>
        </w:tc>
        <w:tc>
          <w:tcPr>
            <w:tcW w:w="60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57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52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5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6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62" w:hRule="atLeast"/>
        </w:trPr>
        <w:tc>
          <w:tcPr>
            <w:tcW w:w="1597"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60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bCs/>
                <w:color w:val="000000"/>
                <w:sz w:val="20"/>
                <w:szCs w:val="20"/>
              </w:rPr>
              <w:t>136.61</w:t>
            </w:r>
            <w:r>
              <w:rPr>
                <w:rFonts w:ascii="Times New Roman" w:hAnsi="Times New Roman"/>
                <w:b/>
                <w:color w:val="000000"/>
                <w:sz w:val="20"/>
                <w:u w:color="auto"/>
              </w:rPr>
              <w:t xml:space="preserve"> </w:t>
            </w:r>
          </w:p>
        </w:tc>
        <w:tc>
          <w:tcPr>
            <w:tcW w:w="5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bCs/>
                <w:color w:val="000000"/>
                <w:sz w:val="20"/>
                <w:szCs w:val="20"/>
              </w:rPr>
              <w:t>136.61</w:t>
            </w:r>
            <w:r>
              <w:rPr>
                <w:rFonts w:ascii="Times New Roman" w:hAnsi="Times New Roman"/>
                <w:b/>
                <w:color w:val="000000"/>
                <w:sz w:val="20"/>
                <w:u w:color="auto"/>
              </w:rPr>
              <w:t xml:space="preserve"> </w:t>
            </w:r>
          </w:p>
        </w:tc>
        <w:tc>
          <w:tcPr>
            <w:tcW w:w="52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bCs/>
                <w:color w:val="000000"/>
                <w:sz w:val="20"/>
                <w:szCs w:val="20"/>
              </w:rPr>
              <w:t>0.00</w:t>
            </w:r>
            <w:r>
              <w:rPr>
                <w:rFonts w:ascii="Times New Roman" w:hAnsi="Times New Roman"/>
                <w:b/>
                <w:color w:val="000000"/>
                <w:sz w:val="20"/>
                <w:u w:color="auto"/>
              </w:rPr>
              <w:t xml:space="preserve"> </w:t>
            </w:r>
          </w:p>
        </w:tc>
        <w:tc>
          <w:tcPr>
            <w:tcW w:w="50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bCs/>
                <w:color w:val="000000"/>
                <w:sz w:val="20"/>
                <w:szCs w:val="20"/>
              </w:rPr>
              <w:t>0.00</w:t>
            </w:r>
            <w:r>
              <w:rPr>
                <w:rFonts w:ascii="Times New Roman" w:hAnsi="Times New Roman"/>
                <w:b/>
                <w:color w:val="000000"/>
                <w:sz w:val="20"/>
                <w:u w:color="auto"/>
              </w:rPr>
              <w:t xml:space="preserve"> </w:t>
            </w:r>
          </w:p>
        </w:tc>
        <w:tc>
          <w:tcPr>
            <w:tcW w:w="55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bCs/>
                <w:color w:val="000000"/>
                <w:sz w:val="20"/>
                <w:szCs w:val="20"/>
              </w:rPr>
              <w:t>0.00</w:t>
            </w:r>
            <w:r>
              <w:rPr>
                <w:rFonts w:ascii="Times New Roman" w:hAnsi="Times New Roman"/>
                <w:b/>
                <w:color w:val="000000"/>
                <w:sz w:val="20"/>
                <w:u w:color="auto"/>
              </w:rPr>
              <w:t xml:space="preserve"> </w:t>
            </w:r>
          </w:p>
        </w:tc>
        <w:tc>
          <w:tcPr>
            <w:tcW w:w="63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bCs/>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82" w:hRule="atLeast"/>
        </w:trPr>
        <w:tc>
          <w:tcPr>
            <w:tcW w:w="42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1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13.82</w:t>
            </w:r>
            <w:r>
              <w:rPr>
                <w:rFonts w:ascii="Times New Roman" w:hAnsi="Times New Roman"/>
                <w:b/>
                <w:color w:val="000000"/>
                <w:sz w:val="20"/>
                <w:u w:color="auto"/>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13.82</w:t>
            </w:r>
            <w:r>
              <w:rPr>
                <w:rFonts w:ascii="Times New Roman" w:hAnsi="Times New Roman"/>
                <w:b/>
                <w:color w:val="000000"/>
                <w:sz w:val="20"/>
                <w:u w:color="auto"/>
              </w:rPr>
              <w:t xml:space="preserve"> </w:t>
            </w:r>
          </w:p>
        </w:tc>
        <w:tc>
          <w:tcPr>
            <w:tcW w:w="52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82" w:hRule="atLeast"/>
        </w:trPr>
        <w:tc>
          <w:tcPr>
            <w:tcW w:w="42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1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13.65</w:t>
            </w:r>
            <w:r>
              <w:rPr>
                <w:rFonts w:ascii="Times New Roman" w:hAnsi="Times New Roman"/>
                <w:b/>
                <w:color w:val="000000"/>
                <w:sz w:val="20"/>
                <w:u w:color="auto"/>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13.65</w:t>
            </w:r>
            <w:r>
              <w:rPr>
                <w:rFonts w:ascii="Times New Roman" w:hAnsi="Times New Roman"/>
                <w:b/>
                <w:color w:val="000000"/>
                <w:sz w:val="20"/>
                <w:u w:color="auto"/>
              </w:rPr>
              <w:t xml:space="preserve"> </w:t>
            </w:r>
          </w:p>
        </w:tc>
        <w:tc>
          <w:tcPr>
            <w:tcW w:w="52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82" w:hRule="atLeast"/>
        </w:trPr>
        <w:tc>
          <w:tcPr>
            <w:tcW w:w="42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1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9.10</w:t>
            </w:r>
            <w:r>
              <w:rPr>
                <w:rFonts w:ascii="Times New Roman" w:hAnsi="Times New Roman"/>
                <w:color w:val="000000"/>
                <w:sz w:val="20"/>
                <w:u w:color="auto"/>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9.10</w:t>
            </w:r>
            <w:r>
              <w:rPr>
                <w:rFonts w:ascii="Times New Roman" w:hAnsi="Times New Roman"/>
                <w:color w:val="000000"/>
                <w:sz w:val="20"/>
                <w:u w:color="auto"/>
              </w:rPr>
              <w:t xml:space="preserve"> </w:t>
            </w:r>
          </w:p>
        </w:tc>
        <w:tc>
          <w:tcPr>
            <w:tcW w:w="52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382" w:hRule="atLeast"/>
        </w:trPr>
        <w:tc>
          <w:tcPr>
            <w:tcW w:w="42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1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4.55</w:t>
            </w:r>
            <w:r>
              <w:rPr>
                <w:rFonts w:ascii="Times New Roman" w:hAnsi="Times New Roman"/>
                <w:color w:val="000000"/>
                <w:sz w:val="20"/>
                <w:u w:color="auto"/>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4.55</w:t>
            </w:r>
            <w:r>
              <w:rPr>
                <w:rFonts w:ascii="Times New Roman" w:hAnsi="Times New Roman"/>
                <w:color w:val="000000"/>
                <w:sz w:val="20"/>
                <w:u w:color="auto"/>
              </w:rPr>
              <w:t xml:space="preserve"> </w:t>
            </w:r>
          </w:p>
        </w:tc>
        <w:tc>
          <w:tcPr>
            <w:tcW w:w="52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382" w:hRule="atLeast"/>
        </w:trPr>
        <w:tc>
          <w:tcPr>
            <w:tcW w:w="42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20899</w:t>
            </w:r>
          </w:p>
        </w:tc>
        <w:tc>
          <w:tcPr>
            <w:tcW w:w="11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其他社会保障和就业支出</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0.17</w:t>
            </w:r>
            <w:r>
              <w:rPr>
                <w:rFonts w:ascii="Times New Roman" w:hAnsi="Times New Roman"/>
                <w:b/>
                <w:color w:val="000000"/>
                <w:sz w:val="20"/>
                <w:u w:color="auto"/>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0.17</w:t>
            </w:r>
            <w:r>
              <w:rPr>
                <w:rFonts w:ascii="Times New Roman" w:hAnsi="Times New Roman"/>
                <w:b/>
                <w:color w:val="000000"/>
                <w:sz w:val="20"/>
                <w:u w:color="auto"/>
              </w:rPr>
              <w:t xml:space="preserve"> </w:t>
            </w:r>
          </w:p>
        </w:tc>
        <w:tc>
          <w:tcPr>
            <w:tcW w:w="52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82" w:hRule="atLeast"/>
        </w:trPr>
        <w:tc>
          <w:tcPr>
            <w:tcW w:w="42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2089999</w:t>
            </w:r>
          </w:p>
        </w:tc>
        <w:tc>
          <w:tcPr>
            <w:tcW w:w="11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其他社会保障和就业支出</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0.17</w:t>
            </w:r>
            <w:r>
              <w:rPr>
                <w:rFonts w:ascii="Times New Roman" w:hAnsi="Times New Roman"/>
                <w:color w:val="000000"/>
                <w:sz w:val="20"/>
                <w:u w:color="auto"/>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0.17</w:t>
            </w:r>
            <w:r>
              <w:rPr>
                <w:rFonts w:ascii="Times New Roman" w:hAnsi="Times New Roman"/>
                <w:color w:val="000000"/>
                <w:sz w:val="20"/>
                <w:u w:color="auto"/>
              </w:rPr>
              <w:t xml:space="preserve"> </w:t>
            </w:r>
          </w:p>
        </w:tc>
        <w:tc>
          <w:tcPr>
            <w:tcW w:w="52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382" w:hRule="atLeast"/>
        </w:trPr>
        <w:tc>
          <w:tcPr>
            <w:tcW w:w="42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1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6.97</w:t>
            </w:r>
            <w:r>
              <w:rPr>
                <w:rFonts w:ascii="Times New Roman" w:hAnsi="Times New Roman"/>
                <w:b/>
                <w:color w:val="000000"/>
                <w:sz w:val="20"/>
                <w:u w:color="auto"/>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6.97</w:t>
            </w:r>
            <w:r>
              <w:rPr>
                <w:rFonts w:ascii="Times New Roman" w:hAnsi="Times New Roman"/>
                <w:b/>
                <w:color w:val="000000"/>
                <w:sz w:val="20"/>
                <w:u w:color="auto"/>
              </w:rPr>
              <w:t xml:space="preserve"> </w:t>
            </w:r>
          </w:p>
        </w:tc>
        <w:tc>
          <w:tcPr>
            <w:tcW w:w="52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82" w:hRule="atLeast"/>
        </w:trPr>
        <w:tc>
          <w:tcPr>
            <w:tcW w:w="42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1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6.97</w:t>
            </w:r>
            <w:r>
              <w:rPr>
                <w:rFonts w:ascii="Times New Roman" w:hAnsi="Times New Roman"/>
                <w:b/>
                <w:color w:val="000000"/>
                <w:sz w:val="20"/>
                <w:u w:color="auto"/>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6.97</w:t>
            </w:r>
            <w:r>
              <w:rPr>
                <w:rFonts w:ascii="Times New Roman" w:hAnsi="Times New Roman"/>
                <w:b/>
                <w:color w:val="000000"/>
                <w:sz w:val="20"/>
                <w:u w:color="auto"/>
              </w:rPr>
              <w:t xml:space="preserve"> </w:t>
            </w:r>
          </w:p>
        </w:tc>
        <w:tc>
          <w:tcPr>
            <w:tcW w:w="52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82" w:hRule="atLeast"/>
        </w:trPr>
        <w:tc>
          <w:tcPr>
            <w:tcW w:w="42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1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5.69</w:t>
            </w:r>
            <w:r>
              <w:rPr>
                <w:rFonts w:ascii="Times New Roman" w:hAnsi="Times New Roman"/>
                <w:color w:val="000000"/>
                <w:sz w:val="20"/>
                <w:u w:color="auto"/>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5.69</w:t>
            </w:r>
            <w:r>
              <w:rPr>
                <w:rFonts w:ascii="Times New Roman" w:hAnsi="Times New Roman"/>
                <w:color w:val="000000"/>
                <w:sz w:val="20"/>
                <w:u w:color="auto"/>
              </w:rPr>
              <w:t xml:space="preserve"> </w:t>
            </w:r>
          </w:p>
        </w:tc>
        <w:tc>
          <w:tcPr>
            <w:tcW w:w="52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382" w:hRule="atLeast"/>
        </w:trPr>
        <w:tc>
          <w:tcPr>
            <w:tcW w:w="42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1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1.28</w:t>
            </w:r>
            <w:r>
              <w:rPr>
                <w:rFonts w:ascii="Times New Roman" w:hAnsi="Times New Roman"/>
                <w:color w:val="000000"/>
                <w:sz w:val="20"/>
                <w:u w:color="auto"/>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1.28</w:t>
            </w:r>
            <w:r>
              <w:rPr>
                <w:rFonts w:ascii="Times New Roman" w:hAnsi="Times New Roman"/>
                <w:color w:val="000000"/>
                <w:sz w:val="20"/>
                <w:u w:color="auto"/>
              </w:rPr>
              <w:t xml:space="preserve"> </w:t>
            </w:r>
          </w:p>
        </w:tc>
        <w:tc>
          <w:tcPr>
            <w:tcW w:w="52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382" w:hRule="atLeast"/>
        </w:trPr>
        <w:tc>
          <w:tcPr>
            <w:tcW w:w="42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w:t>
            </w:r>
          </w:p>
        </w:tc>
        <w:tc>
          <w:tcPr>
            <w:tcW w:w="11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城乡社区支出</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108.99</w:t>
            </w:r>
            <w:r>
              <w:rPr>
                <w:rFonts w:ascii="Times New Roman" w:hAnsi="Times New Roman"/>
                <w:b/>
                <w:color w:val="000000"/>
                <w:sz w:val="20"/>
                <w:u w:color="auto"/>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108.99</w:t>
            </w:r>
            <w:r>
              <w:rPr>
                <w:rFonts w:ascii="Times New Roman" w:hAnsi="Times New Roman"/>
                <w:b/>
                <w:color w:val="000000"/>
                <w:sz w:val="20"/>
                <w:u w:color="auto"/>
              </w:rPr>
              <w:t xml:space="preserve"> </w:t>
            </w:r>
          </w:p>
        </w:tc>
        <w:tc>
          <w:tcPr>
            <w:tcW w:w="52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82" w:hRule="atLeast"/>
        </w:trPr>
        <w:tc>
          <w:tcPr>
            <w:tcW w:w="42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21201</w:t>
            </w:r>
          </w:p>
        </w:tc>
        <w:tc>
          <w:tcPr>
            <w:tcW w:w="11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城乡社区管理事务</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108.99</w:t>
            </w:r>
            <w:r>
              <w:rPr>
                <w:rFonts w:ascii="Times New Roman" w:hAnsi="Times New Roman"/>
                <w:b/>
                <w:color w:val="000000"/>
                <w:sz w:val="20"/>
                <w:u w:color="auto"/>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108.99</w:t>
            </w:r>
            <w:r>
              <w:rPr>
                <w:rFonts w:ascii="Times New Roman" w:hAnsi="Times New Roman"/>
                <w:b/>
                <w:color w:val="000000"/>
                <w:sz w:val="20"/>
                <w:u w:color="auto"/>
              </w:rPr>
              <w:t xml:space="preserve"> </w:t>
            </w:r>
          </w:p>
        </w:tc>
        <w:tc>
          <w:tcPr>
            <w:tcW w:w="52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82" w:hRule="atLeast"/>
        </w:trPr>
        <w:tc>
          <w:tcPr>
            <w:tcW w:w="42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2120199</w:t>
            </w:r>
          </w:p>
        </w:tc>
        <w:tc>
          <w:tcPr>
            <w:tcW w:w="11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其他城乡社区管理事务支出</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108.99</w:t>
            </w:r>
            <w:r>
              <w:rPr>
                <w:rFonts w:ascii="Times New Roman" w:hAnsi="Times New Roman"/>
                <w:color w:val="000000"/>
                <w:sz w:val="20"/>
                <w:u w:color="auto"/>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108.99</w:t>
            </w:r>
            <w:r>
              <w:rPr>
                <w:rFonts w:ascii="Times New Roman" w:hAnsi="Times New Roman"/>
                <w:color w:val="000000"/>
                <w:sz w:val="20"/>
                <w:u w:color="auto"/>
              </w:rPr>
              <w:t xml:space="preserve"> </w:t>
            </w:r>
          </w:p>
        </w:tc>
        <w:tc>
          <w:tcPr>
            <w:tcW w:w="52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382" w:hRule="atLeast"/>
        </w:trPr>
        <w:tc>
          <w:tcPr>
            <w:tcW w:w="42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1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6.83</w:t>
            </w:r>
            <w:r>
              <w:rPr>
                <w:rFonts w:ascii="Times New Roman" w:hAnsi="Times New Roman"/>
                <w:b/>
                <w:color w:val="000000"/>
                <w:sz w:val="20"/>
                <w:u w:color="auto"/>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6.83</w:t>
            </w:r>
            <w:r>
              <w:rPr>
                <w:rFonts w:ascii="Times New Roman" w:hAnsi="Times New Roman"/>
                <w:b/>
                <w:color w:val="000000"/>
                <w:sz w:val="20"/>
                <w:u w:color="auto"/>
              </w:rPr>
              <w:t xml:space="preserve"> </w:t>
            </w:r>
          </w:p>
        </w:tc>
        <w:tc>
          <w:tcPr>
            <w:tcW w:w="52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82" w:hRule="atLeast"/>
        </w:trPr>
        <w:tc>
          <w:tcPr>
            <w:tcW w:w="42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1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6.83</w:t>
            </w:r>
            <w:r>
              <w:rPr>
                <w:rFonts w:ascii="Times New Roman" w:hAnsi="Times New Roman"/>
                <w:b/>
                <w:color w:val="000000"/>
                <w:sz w:val="20"/>
                <w:u w:color="auto"/>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6.83</w:t>
            </w:r>
            <w:r>
              <w:rPr>
                <w:rFonts w:ascii="Times New Roman" w:hAnsi="Times New Roman"/>
                <w:b/>
                <w:color w:val="000000"/>
                <w:sz w:val="20"/>
                <w:u w:color="auto"/>
              </w:rPr>
              <w:t xml:space="preserve"> </w:t>
            </w:r>
          </w:p>
        </w:tc>
        <w:tc>
          <w:tcPr>
            <w:tcW w:w="52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82" w:hRule="atLeast"/>
        </w:trPr>
        <w:tc>
          <w:tcPr>
            <w:tcW w:w="42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1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6.83</w:t>
            </w:r>
            <w:r>
              <w:rPr>
                <w:rFonts w:ascii="Times New Roman" w:hAnsi="Times New Roman"/>
                <w:color w:val="000000"/>
                <w:sz w:val="20"/>
                <w:u w:color="auto"/>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6.83</w:t>
            </w:r>
            <w:r>
              <w:rPr>
                <w:rFonts w:ascii="Times New Roman" w:hAnsi="Times New Roman"/>
                <w:color w:val="000000"/>
                <w:sz w:val="20"/>
                <w:u w:color="auto"/>
              </w:rPr>
              <w:t xml:space="preserve"> </w:t>
            </w:r>
          </w:p>
        </w:tc>
        <w:tc>
          <w:tcPr>
            <w:tcW w:w="52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r>
    </w:tbl>
    <w:p>
      <w:pPr>
        <w:rPr>
          <w:rFonts w:hint="default" w:cs="宋体"/>
          <w:sz w:val="20"/>
          <w:szCs w:val="20"/>
        </w:rPr>
      </w:pPr>
      <w:r>
        <w:rPr>
          <w:rFonts w:cs="宋体"/>
          <w:sz w:val="20"/>
          <w:szCs w:val="20"/>
        </w:rPr>
        <w:t>备注：1.本表反映单位本年度各项支出情况。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p>
      <w:pPr>
        <w:rPr>
          <w:rFonts w:hint="default" w:cs="宋体"/>
          <w:sz w:val="21"/>
          <w:szCs w:val="21"/>
        </w:rPr>
      </w:pPr>
    </w:p>
    <w:tbl>
      <w:tblPr>
        <w:tblStyle w:val="11"/>
        <w:tblW w:w="4790" w:type="pct"/>
        <w:tblInd w:w="0" w:type="dxa"/>
        <w:tblLayout w:type="autofit"/>
        <w:tblCellMar>
          <w:top w:w="0" w:type="dxa"/>
          <w:left w:w="0" w:type="dxa"/>
          <w:bottom w:w="0" w:type="dxa"/>
          <w:right w:w="0" w:type="dxa"/>
        </w:tblCellMar>
      </w:tblPr>
      <w:tblGrid>
        <w:gridCol w:w="2967"/>
        <w:gridCol w:w="1521"/>
        <w:gridCol w:w="3179"/>
        <w:gridCol w:w="1694"/>
        <w:gridCol w:w="1694"/>
        <w:gridCol w:w="1694"/>
        <w:gridCol w:w="1929"/>
      </w:tblGrid>
      <w:tr>
        <w:tblPrEx>
          <w:tblCellMar>
            <w:top w:w="0" w:type="dxa"/>
            <w:left w:w="0" w:type="dxa"/>
            <w:bottom w:w="0" w:type="dxa"/>
            <w:right w:w="0" w:type="dxa"/>
          </w:tblCellMar>
        </w:tblPrEx>
        <w:trPr>
          <w:trHeight w:val="9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财政拨款收入支出决算总表</w:t>
            </w:r>
          </w:p>
        </w:tc>
      </w:tr>
      <w:tr>
        <w:tblPrEx>
          <w:tblCellMar>
            <w:top w:w="0" w:type="dxa"/>
            <w:left w:w="0" w:type="dxa"/>
            <w:bottom w:w="0" w:type="dxa"/>
            <w:right w:w="0" w:type="dxa"/>
          </w:tblCellMar>
        </w:tblPrEx>
        <w:trPr>
          <w:trHeight w:val="90" w:hRule="atLeast"/>
        </w:trPr>
        <w:tc>
          <w:tcPr>
            <w:tcW w:w="2612" w:type="pct"/>
            <w:gridSpan w:val="3"/>
            <w:vMerge w:val="restart"/>
            <w:tcBorders>
              <w:top w:val="nil"/>
              <w:left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default" w:cs="宋体"/>
                <w:color w:val="000000"/>
                <w:sz w:val="18"/>
                <w:szCs w:val="18"/>
              </w:rPr>
            </w:pPr>
            <w:r>
              <w:rPr>
                <w:rFonts w:cs="宋体"/>
                <w:sz w:val="20"/>
                <w:szCs w:val="20"/>
              </w:rPr>
              <w:t>单位</w:t>
            </w:r>
            <w:r>
              <w:rPr>
                <w:rFonts w:cs="宋体"/>
                <w:color w:val="000000"/>
                <w:sz w:val="20"/>
                <w:szCs w:val="20"/>
              </w:rPr>
              <w:t>：</w:t>
            </w:r>
            <w:r>
              <w:rPr>
                <w:color w:val="000000"/>
                <w:sz w:val="20"/>
                <w:u w:color="auto"/>
              </w:rPr>
              <w:t>重庆市大足区智凤街道社区事务服务中心</w:t>
            </w: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60" w:lineRule="exact"/>
              <w:jc w:val="right"/>
              <w:textAlignment w:val="bottom"/>
              <w:rPr>
                <w:rFonts w:hint="default" w:cs="宋体"/>
                <w:color w:val="000000"/>
                <w:sz w:val="20"/>
                <w:szCs w:val="20"/>
              </w:rPr>
            </w:pPr>
            <w:r>
              <w:rPr>
                <w:rFonts w:cs="宋体"/>
                <w:color w:val="000000"/>
                <w:sz w:val="20"/>
                <w:szCs w:val="20"/>
              </w:rPr>
              <w:t>公开</w:t>
            </w:r>
            <w:r>
              <w:rPr>
                <w:rFonts w:hint="default" w:ascii="Times New Roman" w:hAnsi="Times New Roman" w:cs="Times New Roman"/>
                <w:color w:val="000000"/>
                <w:sz w:val="20"/>
                <w:szCs w:val="20"/>
              </w:rPr>
              <w:t>04</w:t>
            </w:r>
            <w:r>
              <w:rPr>
                <w:rFonts w:cs="宋体"/>
                <w:color w:val="000000"/>
                <w:sz w:val="20"/>
                <w:szCs w:val="20"/>
              </w:rPr>
              <w:t>表</w:t>
            </w:r>
          </w:p>
        </w:tc>
      </w:tr>
      <w:tr>
        <w:tblPrEx>
          <w:tblCellMar>
            <w:top w:w="0" w:type="dxa"/>
            <w:left w:w="0" w:type="dxa"/>
            <w:bottom w:w="0" w:type="dxa"/>
            <w:right w:w="0" w:type="dxa"/>
          </w:tblCellMar>
        </w:tblPrEx>
        <w:trPr>
          <w:trHeight w:val="90" w:hRule="atLeast"/>
        </w:trPr>
        <w:tc>
          <w:tcPr>
            <w:tcW w:w="2612" w:type="pct"/>
            <w:gridSpan w:val="3"/>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6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1529"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收     入</w:t>
            </w:r>
          </w:p>
        </w:tc>
        <w:tc>
          <w:tcPr>
            <w:tcW w:w="3471" w:type="pct"/>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支     出</w:t>
            </w:r>
          </w:p>
        </w:tc>
      </w:tr>
      <w:tr>
        <w:tblPrEx>
          <w:tblCellMar>
            <w:top w:w="0" w:type="dxa"/>
            <w:left w:w="0" w:type="dxa"/>
            <w:bottom w:w="0" w:type="dxa"/>
            <w:right w:w="0" w:type="dxa"/>
          </w:tblCellMar>
        </w:tblPrEx>
        <w:trPr>
          <w:trHeight w:val="90" w:hRule="atLeast"/>
        </w:trPr>
        <w:tc>
          <w:tcPr>
            <w:tcW w:w="101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项目</w:t>
            </w:r>
          </w:p>
        </w:tc>
        <w:tc>
          <w:tcPr>
            <w:tcW w:w="51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c>
          <w:tcPr>
            <w:tcW w:w="1083"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功能分类科目</w:t>
            </w:r>
          </w:p>
        </w:tc>
        <w:tc>
          <w:tcPr>
            <w:tcW w:w="2388" w:type="pct"/>
            <w:gridSpan w:val="4"/>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r>
      <w:tr>
        <w:tblPrEx>
          <w:tblCellMar>
            <w:top w:w="0" w:type="dxa"/>
            <w:left w:w="0" w:type="dxa"/>
            <w:bottom w:w="0" w:type="dxa"/>
            <w:right w:w="0" w:type="dxa"/>
          </w:tblCellMar>
        </w:tblPrEx>
        <w:trPr>
          <w:trHeight w:val="90" w:hRule="atLeast"/>
        </w:trPr>
        <w:tc>
          <w:tcPr>
            <w:tcW w:w="101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center"/>
              <w:rPr>
                <w:rFonts w:hint="default" w:cs="宋体"/>
                <w:b/>
                <w:color w:val="000000"/>
                <w:sz w:val="18"/>
                <w:szCs w:val="18"/>
              </w:rPr>
            </w:pPr>
          </w:p>
        </w:tc>
        <w:tc>
          <w:tcPr>
            <w:tcW w:w="51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center"/>
              <w:rPr>
                <w:rFonts w:hint="default" w:cs="宋体"/>
                <w:b/>
                <w:color w:val="000000"/>
                <w:sz w:val="18"/>
                <w:szCs w:val="18"/>
              </w:rPr>
            </w:pPr>
          </w:p>
        </w:tc>
        <w:tc>
          <w:tcPr>
            <w:tcW w:w="1083"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小计</w:t>
            </w:r>
          </w:p>
        </w:tc>
        <w:tc>
          <w:tcPr>
            <w:tcW w:w="5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一般公共预算财政拨款</w:t>
            </w:r>
          </w:p>
        </w:tc>
        <w:tc>
          <w:tcPr>
            <w:tcW w:w="5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政府性基金预算财政拨款</w:t>
            </w:r>
          </w:p>
        </w:tc>
        <w:tc>
          <w:tcPr>
            <w:tcW w:w="6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国有资本经营预算财政拨款</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一、一般公共预算财政拨款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136.61</w:t>
            </w:r>
            <w:r>
              <w:rPr>
                <w:rFonts w:ascii="Times New Roman" w:hAnsi="Times New Roman"/>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一、一般公共服务支出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二、政府性基金预算财政拨款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二、外交支出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三、国有资本经营预算财政拨款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三、国防支出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rPr>
                <w:rFonts w:hint="default" w:cs="宋体"/>
                <w:b/>
                <w:bCs/>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ascii="Times New Roman" w:hAnsi="Times New Roman"/>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四、公共安全支出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rPr>
                <w:rFonts w:hint="default" w:cs="宋体"/>
                <w:b/>
                <w:bCs/>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ascii="Times New Roman" w:hAnsi="Times New Roman"/>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五、教育支出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rPr>
                <w:rFonts w:hint="default" w:cs="宋体"/>
                <w:b/>
                <w:bCs/>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ascii="Times New Roman" w:hAnsi="Times New Roman"/>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六、科学技术支出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rPr>
                <w:rFonts w:hint="default" w:cs="宋体"/>
                <w:b/>
                <w:bCs/>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ascii="Times New Roman" w:hAnsi="Times New Roman"/>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七、文化旅游体育与传媒支出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rPr>
                <w:rFonts w:hint="default" w:cs="宋体"/>
                <w:b/>
                <w:bCs/>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ascii="Times New Roman" w:hAnsi="Times New Roman"/>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八、社会保障和就业支出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13.82</w:t>
            </w: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13.82</w:t>
            </w: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rPr>
                <w:rFonts w:hint="default" w:cs="宋体"/>
                <w:b/>
                <w:bCs/>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ascii="Times New Roman" w:hAnsi="Times New Roman"/>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九、卫生健康支出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6.97</w:t>
            </w: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6.97</w:t>
            </w: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rPr>
                <w:rFonts w:hint="default" w:cs="宋体"/>
                <w:b/>
                <w:bCs/>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ascii="Times New Roman" w:hAnsi="Times New Roman"/>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十、节能环保支出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rPr>
                <w:rFonts w:hint="default" w:cs="宋体"/>
                <w:b/>
                <w:bCs/>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ascii="Times New Roman" w:hAnsi="Times New Roman"/>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十一、城乡社区支出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108.99</w:t>
            </w: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108.99</w:t>
            </w: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rPr>
                <w:rFonts w:hint="default" w:cs="宋体"/>
                <w:b/>
                <w:bCs/>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ascii="Times New Roman" w:hAnsi="Times New Roman"/>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十二、农林水支出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rPr>
                <w:rFonts w:hint="default" w:cs="宋体"/>
                <w:b/>
                <w:bCs/>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ascii="Times New Roman" w:hAnsi="Times New Roman"/>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十三、交通运输支出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rPr>
                <w:rFonts w:hint="default" w:cs="宋体"/>
                <w:b/>
                <w:bCs/>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ascii="Times New Roman" w:hAnsi="Times New Roman"/>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十四、资源勘探工业信息等支出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rPr>
                <w:rFonts w:hint="default" w:cs="宋体"/>
                <w:b/>
                <w:bCs/>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ascii="Times New Roman" w:hAnsi="Times New Roman"/>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十五、商业服务业等支出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rPr>
                <w:rFonts w:hint="default" w:cs="宋体"/>
                <w:b/>
                <w:bCs/>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ascii="Times New Roman" w:hAnsi="Times New Roman"/>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十六、金融支出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rPr>
                <w:rFonts w:hint="default" w:cs="宋体"/>
                <w:b/>
                <w:bCs/>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ascii="Times New Roman" w:hAnsi="Times New Roman"/>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十七、援助其他地区支出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rPr>
                <w:rFonts w:hint="default" w:cs="宋体"/>
                <w:b/>
                <w:bCs/>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ascii="Times New Roman" w:hAnsi="Times New Roman"/>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十八、自然资源海洋气象等支出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rPr>
                <w:rFonts w:hint="default" w:cs="宋体"/>
                <w:b/>
                <w:bCs/>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ascii="Times New Roman" w:hAnsi="Times New Roman"/>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十九、住房保障支出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6.83</w:t>
            </w: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6.83</w:t>
            </w: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rPr>
                <w:rFonts w:hint="default" w:cs="宋体"/>
                <w:b/>
                <w:bCs/>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ascii="Times New Roman" w:hAnsi="Times New Roman"/>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二十、粮油物资储备支出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rPr>
                <w:rFonts w:hint="default" w:cs="宋体"/>
                <w:b/>
                <w:bCs/>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ascii="Times New Roman" w:hAnsi="Times New Roman"/>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二十一、国有资本经营预算支出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rPr>
                <w:rFonts w:hint="default" w:cs="宋体"/>
                <w:b/>
                <w:bCs/>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ascii="Times New Roman" w:hAnsi="Times New Roman"/>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二十二、灾害防治及应急管理支出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rPr>
                <w:rFonts w:hint="default" w:cs="宋体"/>
                <w:b/>
                <w:bCs/>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ascii="Times New Roman" w:hAnsi="Times New Roman"/>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二十三、其他支出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b/>
                <w:bCs/>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ascii="Times New Roman" w:hAnsi="Times New Roman"/>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二十四、债务还本支出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b/>
                <w:bCs/>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ascii="Times New Roman" w:hAnsi="Times New Roman"/>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二十五、债务付息支出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b/>
                <w:bCs/>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ascii="Times New Roman" w:hAnsi="Times New Roman"/>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二十六、抗疫特别国债安排的支出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b/>
                <w:bCs/>
                <w:color w:val="000000"/>
                <w:sz w:val="18"/>
                <w:szCs w:val="18"/>
              </w:rPr>
            </w:pPr>
            <w:r>
              <w:rPr>
                <w:rFonts w:cs="宋体"/>
                <w:b/>
                <w:bCs/>
                <w:color w:val="000000"/>
                <w:sz w:val="18"/>
                <w:szCs w:val="18"/>
              </w:rPr>
              <w:t>本年收入合计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136.61</w:t>
            </w:r>
            <w:r>
              <w:rPr>
                <w:rFonts w:ascii="Times New Roman" w:hAnsi="Times New Roman"/>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b/>
                <w:bCs/>
                <w:color w:val="000000"/>
                <w:sz w:val="18"/>
                <w:szCs w:val="18"/>
              </w:rPr>
            </w:pPr>
            <w:r>
              <w:rPr>
                <w:rFonts w:cs="宋体"/>
                <w:b/>
                <w:bCs/>
                <w:color w:val="000000"/>
                <w:sz w:val="18"/>
                <w:szCs w:val="18"/>
              </w:rPr>
              <w:t>本年支出合计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136.61</w:t>
            </w: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136.61</w:t>
            </w: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年初财政拨款结转和结余</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年末财政拨款结转和结余</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 xml:space="preserve">  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ascii="Times New Roman" w:hAnsi="Times New Roman"/>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ascii="Times New Roman" w:hAnsi="Times New Roman"/>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ascii="Times New Roman" w:hAnsi="Times New Roman"/>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ascii="Times New Roman" w:hAnsi="Times New Roman"/>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 xml:space="preserve">  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ascii="Times New Roman" w:hAnsi="Times New Roman"/>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ascii="Times New Roman" w:hAnsi="Times New Roman"/>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ascii="Times New Roman" w:hAnsi="Times New Roman"/>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ascii="Times New Roman" w:hAnsi="Times New Roman"/>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textAlignment w:val="center"/>
              <w:rPr>
                <w:rFonts w:hint="default" w:cs="宋体"/>
                <w:b/>
                <w:bCs/>
                <w:color w:val="000000"/>
                <w:sz w:val="18"/>
                <w:szCs w:val="18"/>
              </w:rPr>
            </w:pPr>
            <w:r>
              <w:rPr>
                <w:rFonts w:cs="宋体"/>
                <w:b/>
                <w:bCs/>
                <w:color w:val="000000"/>
                <w:sz w:val="18"/>
                <w:szCs w:val="18"/>
              </w:rPr>
              <w:t xml:space="preserve">  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ascii="Times New Roman" w:hAnsi="Times New Roman"/>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ascii="Times New Roman" w:hAnsi="Times New Roman"/>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ascii="Times New Roman" w:hAnsi="Times New Roman"/>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ascii="Times New Roman" w:hAnsi="Times New Roman"/>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136.61</w:t>
            </w:r>
            <w:r>
              <w:rPr>
                <w:rFonts w:ascii="Times New Roman" w:hAnsi="Times New Roman"/>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136.61</w:t>
            </w: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136.61</w:t>
            </w:r>
            <w:r>
              <w:rPr>
                <w:rFonts w:ascii="Times New Roman" w:hAnsi="Times New Roman"/>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bl>
    <w:p>
      <w:pPr>
        <w:spacing w:line="240" w:lineRule="exact"/>
        <w:rPr>
          <w:rFonts w:hint="default" w:cs="宋体"/>
          <w:sz w:val="20"/>
          <w:szCs w:val="20"/>
        </w:rPr>
      </w:pPr>
      <w:r>
        <w:rPr>
          <w:rFonts w:cs="宋体"/>
          <w:sz w:val="20"/>
          <w:szCs w:val="20"/>
        </w:rPr>
        <w:t>备注：1.本表反映单位本年度一般公共预算财政拨款、政府性基金预算财政拨款及国有资本经营预算财政拨款的总收支和年末结转结余情况。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11"/>
        <w:tblW w:w="5000" w:type="pct"/>
        <w:tblInd w:w="0" w:type="dxa"/>
        <w:tblLayout w:type="fixed"/>
        <w:tblCellMar>
          <w:top w:w="0" w:type="dxa"/>
          <w:left w:w="0" w:type="dxa"/>
          <w:bottom w:w="0" w:type="dxa"/>
          <w:right w:w="0" w:type="dxa"/>
        </w:tblCellMar>
      </w:tblPr>
      <w:tblGrid>
        <w:gridCol w:w="1305"/>
        <w:gridCol w:w="4073"/>
        <w:gridCol w:w="3306"/>
        <w:gridCol w:w="3297"/>
        <w:gridCol w:w="3341"/>
      </w:tblGrid>
      <w:tr>
        <w:tblPrEx>
          <w:tblCellMar>
            <w:top w:w="0" w:type="dxa"/>
            <w:left w:w="0" w:type="dxa"/>
            <w:bottom w:w="0" w:type="dxa"/>
            <w:right w:w="0" w:type="dxa"/>
          </w:tblCellMar>
        </w:tblPrEx>
        <w:trPr>
          <w:trHeight w:val="510"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一般公共预算财政拨款支出决算表</w:t>
            </w:r>
          </w:p>
        </w:tc>
      </w:tr>
      <w:tr>
        <w:tblPrEx>
          <w:tblCellMar>
            <w:top w:w="0" w:type="dxa"/>
            <w:left w:w="0" w:type="dxa"/>
            <w:bottom w:w="0" w:type="dxa"/>
            <w:right w:w="0" w:type="dxa"/>
          </w:tblCellMar>
        </w:tblPrEx>
        <w:trPr>
          <w:trHeight w:val="255" w:hRule="atLeast"/>
        </w:trPr>
        <w:tc>
          <w:tcPr>
            <w:tcW w:w="2834" w:type="pct"/>
            <w:gridSpan w:val="3"/>
            <w:vMerge w:val="restart"/>
            <w:tcBorders>
              <w:top w:val="nil"/>
              <w:left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default" w:cs="宋体"/>
                <w:color w:val="000000"/>
                <w:sz w:val="20"/>
                <w:szCs w:val="20"/>
              </w:rPr>
            </w:pPr>
            <w:r>
              <w:rPr>
                <w:rFonts w:cs="宋体"/>
                <w:sz w:val="20"/>
                <w:szCs w:val="20"/>
              </w:rPr>
              <w:t>单位</w:t>
            </w:r>
            <w:r>
              <w:rPr>
                <w:rFonts w:cs="宋体"/>
                <w:color w:val="000000"/>
                <w:sz w:val="20"/>
                <w:szCs w:val="20"/>
              </w:rPr>
              <w:t>：</w:t>
            </w:r>
            <w:r>
              <w:rPr>
                <w:color w:val="000000"/>
                <w:sz w:val="20"/>
                <w:u w:color="auto"/>
              </w:rPr>
              <w:t>重庆市大足区智凤街道社区事务服务中心</w:t>
            </w:r>
          </w:p>
        </w:tc>
        <w:tc>
          <w:tcPr>
            <w:tcW w:w="1076"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88" w:type="pct"/>
            <w:tcBorders>
              <w:top w:val="nil"/>
              <w:left w:val="nil"/>
              <w:bottom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jc w:val="right"/>
              <w:textAlignment w:val="bottom"/>
              <w:rPr>
                <w:rFonts w:hint="default" w:cs="宋体"/>
                <w:color w:val="000000"/>
                <w:sz w:val="20"/>
                <w:szCs w:val="20"/>
              </w:rPr>
            </w:pPr>
            <w:r>
              <w:rPr>
                <w:rFonts w:cs="宋体"/>
                <w:color w:val="000000"/>
                <w:sz w:val="20"/>
                <w:szCs w:val="20"/>
              </w:rPr>
              <w:t>公开</w:t>
            </w:r>
            <w:r>
              <w:rPr>
                <w:rFonts w:hint="default" w:ascii="Times New Roman" w:hAnsi="Times New Roman" w:cs="Times New Roman"/>
                <w:color w:val="000000"/>
                <w:sz w:val="20"/>
                <w:szCs w:val="20"/>
              </w:rPr>
              <w:t>05</w:t>
            </w:r>
            <w:r>
              <w:rPr>
                <w:rFonts w:cs="宋体"/>
                <w:color w:val="000000"/>
                <w:sz w:val="20"/>
                <w:szCs w:val="20"/>
              </w:rPr>
              <w:t>表</w:t>
            </w:r>
          </w:p>
        </w:tc>
      </w:tr>
      <w:tr>
        <w:tblPrEx>
          <w:tblCellMar>
            <w:top w:w="0" w:type="dxa"/>
            <w:left w:w="0" w:type="dxa"/>
            <w:bottom w:w="0" w:type="dxa"/>
            <w:right w:w="0" w:type="dxa"/>
          </w:tblCellMar>
        </w:tblPrEx>
        <w:trPr>
          <w:trHeight w:val="285" w:hRule="atLeast"/>
        </w:trPr>
        <w:tc>
          <w:tcPr>
            <w:tcW w:w="2834"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76"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88" w:type="pct"/>
            <w:tcBorders>
              <w:top w:val="nil"/>
              <w:left w:val="nil"/>
              <w:bottom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08" w:hRule="atLeast"/>
        </w:trPr>
        <w:tc>
          <w:tcPr>
            <w:tcW w:w="1755" w:type="pct"/>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3244" w:type="pct"/>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26" w:hRule="atLeast"/>
        </w:trPr>
        <w:tc>
          <w:tcPr>
            <w:tcW w:w="426" w:type="pct"/>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329"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078"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076"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088"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26" w:hRule="atLeast"/>
        </w:trPr>
        <w:tc>
          <w:tcPr>
            <w:tcW w:w="426" w:type="pct"/>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1329"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1078"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1076"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1088"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5" w:hRule="atLeast"/>
        </w:trPr>
        <w:tc>
          <w:tcPr>
            <w:tcW w:w="426" w:type="pct"/>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1329"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1078"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1076"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1088"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08" w:hRule="atLeast"/>
        </w:trPr>
        <w:tc>
          <w:tcPr>
            <w:tcW w:w="1755" w:type="pct"/>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0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bCs/>
                <w:color w:val="000000"/>
                <w:sz w:val="20"/>
                <w:szCs w:val="20"/>
              </w:rPr>
              <w:t>136.61</w:t>
            </w:r>
            <w:r>
              <w:rPr>
                <w:rFonts w:ascii="Times New Roman" w:hAnsi="Times New Roman"/>
                <w:b/>
                <w:color w:val="000000"/>
                <w:sz w:val="20"/>
                <w:u w:color="auto"/>
              </w:rPr>
              <w:t xml:space="preserve"> </w:t>
            </w:r>
          </w:p>
        </w:tc>
        <w:tc>
          <w:tcPr>
            <w:tcW w:w="10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bCs/>
                <w:color w:val="000000"/>
                <w:sz w:val="20"/>
                <w:szCs w:val="20"/>
              </w:rPr>
              <w:t>136.61</w:t>
            </w:r>
            <w:r>
              <w:rPr>
                <w:rFonts w:ascii="Times New Roman" w:hAnsi="Times New Roman"/>
                <w:b/>
                <w:color w:val="000000"/>
                <w:sz w:val="20"/>
                <w:u w:color="auto"/>
              </w:rPr>
              <w:t xml:space="preserve"> </w:t>
            </w:r>
          </w:p>
        </w:tc>
        <w:tc>
          <w:tcPr>
            <w:tcW w:w="108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bCs/>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08" w:hRule="atLeast"/>
        </w:trPr>
        <w:tc>
          <w:tcPr>
            <w:tcW w:w="42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32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10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color w:val="000000"/>
                <w:sz w:val="20"/>
                <w:szCs w:val="20"/>
              </w:rPr>
              <w:t>13.82</w:t>
            </w:r>
            <w:r>
              <w:rPr>
                <w:rFonts w:ascii="Times New Roman" w:hAnsi="Times New Roman"/>
                <w:b/>
                <w:color w:val="000000"/>
                <w:sz w:val="20"/>
                <w:u w:color="auto"/>
              </w:rPr>
              <w:t xml:space="preserve"> </w:t>
            </w:r>
          </w:p>
        </w:tc>
        <w:tc>
          <w:tcPr>
            <w:tcW w:w="10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color w:val="000000"/>
                <w:sz w:val="20"/>
                <w:szCs w:val="20"/>
              </w:rPr>
              <w:t>13.82</w:t>
            </w:r>
            <w:r>
              <w:rPr>
                <w:rFonts w:ascii="Times New Roman" w:hAnsi="Times New Roman"/>
                <w:b/>
                <w:color w:val="000000"/>
                <w:sz w:val="20"/>
                <w:u w:color="auto"/>
              </w:rPr>
              <w:t xml:space="preserve"> </w:t>
            </w:r>
          </w:p>
        </w:tc>
        <w:tc>
          <w:tcPr>
            <w:tcW w:w="108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08" w:hRule="atLeast"/>
        </w:trPr>
        <w:tc>
          <w:tcPr>
            <w:tcW w:w="42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32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10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color w:val="000000"/>
                <w:sz w:val="20"/>
                <w:szCs w:val="20"/>
              </w:rPr>
              <w:t>13.65</w:t>
            </w:r>
            <w:r>
              <w:rPr>
                <w:rFonts w:ascii="Times New Roman" w:hAnsi="Times New Roman"/>
                <w:b/>
                <w:color w:val="000000"/>
                <w:sz w:val="20"/>
                <w:u w:color="auto"/>
              </w:rPr>
              <w:t xml:space="preserve"> </w:t>
            </w:r>
          </w:p>
        </w:tc>
        <w:tc>
          <w:tcPr>
            <w:tcW w:w="10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color w:val="000000"/>
                <w:sz w:val="20"/>
                <w:szCs w:val="20"/>
              </w:rPr>
              <w:t>13.65</w:t>
            </w:r>
            <w:r>
              <w:rPr>
                <w:rFonts w:ascii="Times New Roman" w:hAnsi="Times New Roman"/>
                <w:b/>
                <w:color w:val="000000"/>
                <w:sz w:val="20"/>
                <w:u w:color="auto"/>
              </w:rPr>
              <w:t xml:space="preserve"> </w:t>
            </w:r>
          </w:p>
        </w:tc>
        <w:tc>
          <w:tcPr>
            <w:tcW w:w="108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08" w:hRule="atLeast"/>
        </w:trPr>
        <w:tc>
          <w:tcPr>
            <w:tcW w:w="42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32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10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color w:val="000000"/>
                <w:sz w:val="20"/>
                <w:szCs w:val="20"/>
              </w:rPr>
              <w:t>9.10</w:t>
            </w:r>
            <w:r>
              <w:rPr>
                <w:rFonts w:ascii="Times New Roman" w:hAnsi="Times New Roman"/>
                <w:color w:val="000000"/>
                <w:sz w:val="20"/>
                <w:u w:color="auto"/>
              </w:rPr>
              <w:t xml:space="preserve"> </w:t>
            </w:r>
          </w:p>
        </w:tc>
        <w:tc>
          <w:tcPr>
            <w:tcW w:w="10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color w:val="000000"/>
                <w:sz w:val="20"/>
                <w:szCs w:val="20"/>
              </w:rPr>
              <w:t>9.10</w:t>
            </w:r>
            <w:r>
              <w:rPr>
                <w:rFonts w:ascii="Times New Roman" w:hAnsi="Times New Roman"/>
                <w:color w:val="000000"/>
                <w:sz w:val="20"/>
                <w:u w:color="auto"/>
              </w:rPr>
              <w:t xml:space="preserve"> </w:t>
            </w:r>
          </w:p>
        </w:tc>
        <w:tc>
          <w:tcPr>
            <w:tcW w:w="108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308" w:hRule="atLeast"/>
        </w:trPr>
        <w:tc>
          <w:tcPr>
            <w:tcW w:w="42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32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10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color w:val="000000"/>
                <w:sz w:val="20"/>
                <w:szCs w:val="20"/>
              </w:rPr>
              <w:t>4.55</w:t>
            </w:r>
            <w:r>
              <w:rPr>
                <w:rFonts w:ascii="Times New Roman" w:hAnsi="Times New Roman"/>
                <w:color w:val="000000"/>
                <w:sz w:val="20"/>
                <w:u w:color="auto"/>
              </w:rPr>
              <w:t xml:space="preserve"> </w:t>
            </w:r>
          </w:p>
        </w:tc>
        <w:tc>
          <w:tcPr>
            <w:tcW w:w="10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color w:val="000000"/>
                <w:sz w:val="20"/>
                <w:szCs w:val="20"/>
              </w:rPr>
              <w:t>4.55</w:t>
            </w:r>
            <w:r>
              <w:rPr>
                <w:rFonts w:ascii="Times New Roman" w:hAnsi="Times New Roman"/>
                <w:color w:val="000000"/>
                <w:sz w:val="20"/>
                <w:u w:color="auto"/>
              </w:rPr>
              <w:t xml:space="preserve"> </w:t>
            </w:r>
          </w:p>
        </w:tc>
        <w:tc>
          <w:tcPr>
            <w:tcW w:w="108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308" w:hRule="atLeast"/>
        </w:trPr>
        <w:tc>
          <w:tcPr>
            <w:tcW w:w="42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20899</w:t>
            </w:r>
          </w:p>
        </w:tc>
        <w:tc>
          <w:tcPr>
            <w:tcW w:w="132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其他社会保障和就业支出</w:t>
            </w:r>
          </w:p>
        </w:tc>
        <w:tc>
          <w:tcPr>
            <w:tcW w:w="10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color w:val="000000"/>
                <w:sz w:val="20"/>
                <w:szCs w:val="20"/>
              </w:rPr>
              <w:t>0.17</w:t>
            </w:r>
            <w:r>
              <w:rPr>
                <w:rFonts w:ascii="Times New Roman" w:hAnsi="Times New Roman"/>
                <w:b/>
                <w:color w:val="000000"/>
                <w:sz w:val="20"/>
                <w:u w:color="auto"/>
              </w:rPr>
              <w:t xml:space="preserve"> </w:t>
            </w:r>
          </w:p>
        </w:tc>
        <w:tc>
          <w:tcPr>
            <w:tcW w:w="10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color w:val="000000"/>
                <w:sz w:val="20"/>
                <w:szCs w:val="20"/>
              </w:rPr>
              <w:t>0.17</w:t>
            </w:r>
            <w:r>
              <w:rPr>
                <w:rFonts w:ascii="Times New Roman" w:hAnsi="Times New Roman"/>
                <w:b/>
                <w:color w:val="000000"/>
                <w:sz w:val="20"/>
                <w:u w:color="auto"/>
              </w:rPr>
              <w:t xml:space="preserve"> </w:t>
            </w:r>
          </w:p>
        </w:tc>
        <w:tc>
          <w:tcPr>
            <w:tcW w:w="108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08" w:hRule="atLeast"/>
        </w:trPr>
        <w:tc>
          <w:tcPr>
            <w:tcW w:w="42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2089999</w:t>
            </w:r>
          </w:p>
        </w:tc>
        <w:tc>
          <w:tcPr>
            <w:tcW w:w="132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其他社会保障和就业支出</w:t>
            </w:r>
          </w:p>
        </w:tc>
        <w:tc>
          <w:tcPr>
            <w:tcW w:w="10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color w:val="000000"/>
                <w:sz w:val="20"/>
                <w:szCs w:val="20"/>
              </w:rPr>
              <w:t>0.17</w:t>
            </w:r>
            <w:r>
              <w:rPr>
                <w:rFonts w:ascii="Times New Roman" w:hAnsi="Times New Roman"/>
                <w:color w:val="000000"/>
                <w:sz w:val="20"/>
                <w:u w:color="auto"/>
              </w:rPr>
              <w:t xml:space="preserve"> </w:t>
            </w:r>
          </w:p>
        </w:tc>
        <w:tc>
          <w:tcPr>
            <w:tcW w:w="10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color w:val="000000"/>
                <w:sz w:val="20"/>
                <w:szCs w:val="20"/>
              </w:rPr>
              <w:t>0.17</w:t>
            </w:r>
            <w:r>
              <w:rPr>
                <w:rFonts w:ascii="Times New Roman" w:hAnsi="Times New Roman"/>
                <w:color w:val="000000"/>
                <w:sz w:val="20"/>
                <w:u w:color="auto"/>
              </w:rPr>
              <w:t xml:space="preserve"> </w:t>
            </w:r>
          </w:p>
        </w:tc>
        <w:tc>
          <w:tcPr>
            <w:tcW w:w="108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308" w:hRule="atLeast"/>
        </w:trPr>
        <w:tc>
          <w:tcPr>
            <w:tcW w:w="42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32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10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color w:val="000000"/>
                <w:sz w:val="20"/>
                <w:szCs w:val="20"/>
              </w:rPr>
              <w:t>6.97</w:t>
            </w:r>
            <w:r>
              <w:rPr>
                <w:rFonts w:ascii="Times New Roman" w:hAnsi="Times New Roman"/>
                <w:b/>
                <w:color w:val="000000"/>
                <w:sz w:val="20"/>
                <w:u w:color="auto"/>
              </w:rPr>
              <w:t xml:space="preserve"> </w:t>
            </w:r>
          </w:p>
        </w:tc>
        <w:tc>
          <w:tcPr>
            <w:tcW w:w="10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color w:val="000000"/>
                <w:sz w:val="20"/>
                <w:szCs w:val="20"/>
              </w:rPr>
              <w:t>6.97</w:t>
            </w:r>
            <w:r>
              <w:rPr>
                <w:rFonts w:ascii="Times New Roman" w:hAnsi="Times New Roman"/>
                <w:b/>
                <w:color w:val="000000"/>
                <w:sz w:val="20"/>
                <w:u w:color="auto"/>
              </w:rPr>
              <w:t xml:space="preserve"> </w:t>
            </w:r>
          </w:p>
        </w:tc>
        <w:tc>
          <w:tcPr>
            <w:tcW w:w="108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08" w:hRule="atLeast"/>
        </w:trPr>
        <w:tc>
          <w:tcPr>
            <w:tcW w:w="42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32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10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color w:val="000000"/>
                <w:sz w:val="20"/>
                <w:szCs w:val="20"/>
              </w:rPr>
              <w:t>6.97</w:t>
            </w:r>
            <w:r>
              <w:rPr>
                <w:rFonts w:ascii="Times New Roman" w:hAnsi="Times New Roman"/>
                <w:b/>
                <w:color w:val="000000"/>
                <w:sz w:val="20"/>
                <w:u w:color="auto"/>
              </w:rPr>
              <w:t xml:space="preserve"> </w:t>
            </w:r>
          </w:p>
        </w:tc>
        <w:tc>
          <w:tcPr>
            <w:tcW w:w="10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color w:val="000000"/>
                <w:sz w:val="20"/>
                <w:szCs w:val="20"/>
              </w:rPr>
              <w:t>6.97</w:t>
            </w:r>
            <w:r>
              <w:rPr>
                <w:rFonts w:ascii="Times New Roman" w:hAnsi="Times New Roman"/>
                <w:b/>
                <w:color w:val="000000"/>
                <w:sz w:val="20"/>
                <w:u w:color="auto"/>
              </w:rPr>
              <w:t xml:space="preserve"> </w:t>
            </w:r>
          </w:p>
        </w:tc>
        <w:tc>
          <w:tcPr>
            <w:tcW w:w="108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08" w:hRule="atLeast"/>
        </w:trPr>
        <w:tc>
          <w:tcPr>
            <w:tcW w:w="42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32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10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color w:val="000000"/>
                <w:sz w:val="20"/>
                <w:szCs w:val="20"/>
              </w:rPr>
              <w:t>5.69</w:t>
            </w:r>
            <w:r>
              <w:rPr>
                <w:rFonts w:ascii="Times New Roman" w:hAnsi="Times New Roman"/>
                <w:color w:val="000000"/>
                <w:sz w:val="20"/>
                <w:u w:color="auto"/>
              </w:rPr>
              <w:t xml:space="preserve"> </w:t>
            </w:r>
          </w:p>
        </w:tc>
        <w:tc>
          <w:tcPr>
            <w:tcW w:w="10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color w:val="000000"/>
                <w:sz w:val="20"/>
                <w:szCs w:val="20"/>
              </w:rPr>
              <w:t>5.69</w:t>
            </w:r>
            <w:r>
              <w:rPr>
                <w:rFonts w:ascii="Times New Roman" w:hAnsi="Times New Roman"/>
                <w:color w:val="000000"/>
                <w:sz w:val="20"/>
                <w:u w:color="auto"/>
              </w:rPr>
              <w:t xml:space="preserve"> </w:t>
            </w:r>
          </w:p>
        </w:tc>
        <w:tc>
          <w:tcPr>
            <w:tcW w:w="108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308" w:hRule="atLeast"/>
        </w:trPr>
        <w:tc>
          <w:tcPr>
            <w:tcW w:w="42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32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10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color w:val="000000"/>
                <w:sz w:val="20"/>
                <w:szCs w:val="20"/>
              </w:rPr>
              <w:t>1.28</w:t>
            </w:r>
            <w:r>
              <w:rPr>
                <w:rFonts w:ascii="Times New Roman" w:hAnsi="Times New Roman"/>
                <w:color w:val="000000"/>
                <w:sz w:val="20"/>
                <w:u w:color="auto"/>
              </w:rPr>
              <w:t xml:space="preserve"> </w:t>
            </w:r>
          </w:p>
        </w:tc>
        <w:tc>
          <w:tcPr>
            <w:tcW w:w="10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color w:val="000000"/>
                <w:sz w:val="20"/>
                <w:szCs w:val="20"/>
              </w:rPr>
              <w:t>1.28</w:t>
            </w:r>
            <w:r>
              <w:rPr>
                <w:rFonts w:ascii="Times New Roman" w:hAnsi="Times New Roman"/>
                <w:color w:val="000000"/>
                <w:sz w:val="20"/>
                <w:u w:color="auto"/>
              </w:rPr>
              <w:t xml:space="preserve"> </w:t>
            </w:r>
          </w:p>
        </w:tc>
        <w:tc>
          <w:tcPr>
            <w:tcW w:w="108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308" w:hRule="atLeast"/>
        </w:trPr>
        <w:tc>
          <w:tcPr>
            <w:tcW w:w="42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w:t>
            </w:r>
          </w:p>
        </w:tc>
        <w:tc>
          <w:tcPr>
            <w:tcW w:w="132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城乡社区支出</w:t>
            </w:r>
          </w:p>
        </w:tc>
        <w:tc>
          <w:tcPr>
            <w:tcW w:w="10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color w:val="000000"/>
                <w:sz w:val="20"/>
                <w:szCs w:val="20"/>
              </w:rPr>
              <w:t>108.99</w:t>
            </w:r>
            <w:r>
              <w:rPr>
                <w:rFonts w:ascii="Times New Roman" w:hAnsi="Times New Roman"/>
                <w:b/>
                <w:color w:val="000000"/>
                <w:sz w:val="20"/>
                <w:u w:color="auto"/>
              </w:rPr>
              <w:t xml:space="preserve"> </w:t>
            </w:r>
          </w:p>
        </w:tc>
        <w:tc>
          <w:tcPr>
            <w:tcW w:w="10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color w:val="000000"/>
                <w:sz w:val="20"/>
                <w:szCs w:val="20"/>
              </w:rPr>
              <w:t>108.99</w:t>
            </w:r>
            <w:r>
              <w:rPr>
                <w:rFonts w:ascii="Times New Roman" w:hAnsi="Times New Roman"/>
                <w:b/>
                <w:color w:val="000000"/>
                <w:sz w:val="20"/>
                <w:u w:color="auto"/>
              </w:rPr>
              <w:t xml:space="preserve"> </w:t>
            </w:r>
          </w:p>
        </w:tc>
        <w:tc>
          <w:tcPr>
            <w:tcW w:w="108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08" w:hRule="atLeast"/>
        </w:trPr>
        <w:tc>
          <w:tcPr>
            <w:tcW w:w="42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21201</w:t>
            </w:r>
          </w:p>
        </w:tc>
        <w:tc>
          <w:tcPr>
            <w:tcW w:w="132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城乡社区管理事务</w:t>
            </w:r>
          </w:p>
        </w:tc>
        <w:tc>
          <w:tcPr>
            <w:tcW w:w="10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color w:val="000000"/>
                <w:sz w:val="20"/>
                <w:szCs w:val="20"/>
              </w:rPr>
              <w:t>108.99</w:t>
            </w:r>
            <w:r>
              <w:rPr>
                <w:rFonts w:ascii="Times New Roman" w:hAnsi="Times New Roman"/>
                <w:b/>
                <w:color w:val="000000"/>
                <w:sz w:val="20"/>
                <w:u w:color="auto"/>
              </w:rPr>
              <w:t xml:space="preserve"> </w:t>
            </w:r>
          </w:p>
        </w:tc>
        <w:tc>
          <w:tcPr>
            <w:tcW w:w="10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color w:val="000000"/>
                <w:sz w:val="20"/>
                <w:szCs w:val="20"/>
              </w:rPr>
              <w:t>108.99</w:t>
            </w:r>
            <w:r>
              <w:rPr>
                <w:rFonts w:ascii="Times New Roman" w:hAnsi="Times New Roman"/>
                <w:b/>
                <w:color w:val="000000"/>
                <w:sz w:val="20"/>
                <w:u w:color="auto"/>
              </w:rPr>
              <w:t xml:space="preserve"> </w:t>
            </w:r>
          </w:p>
        </w:tc>
        <w:tc>
          <w:tcPr>
            <w:tcW w:w="108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08" w:hRule="atLeast"/>
        </w:trPr>
        <w:tc>
          <w:tcPr>
            <w:tcW w:w="42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2120199</w:t>
            </w:r>
          </w:p>
        </w:tc>
        <w:tc>
          <w:tcPr>
            <w:tcW w:w="132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其他城乡社区管理事务支出</w:t>
            </w:r>
          </w:p>
        </w:tc>
        <w:tc>
          <w:tcPr>
            <w:tcW w:w="10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color w:val="000000"/>
                <w:sz w:val="20"/>
                <w:szCs w:val="20"/>
              </w:rPr>
              <w:t>108.99</w:t>
            </w:r>
            <w:r>
              <w:rPr>
                <w:rFonts w:ascii="Times New Roman" w:hAnsi="Times New Roman"/>
                <w:color w:val="000000"/>
                <w:sz w:val="20"/>
                <w:u w:color="auto"/>
              </w:rPr>
              <w:t xml:space="preserve"> </w:t>
            </w:r>
          </w:p>
        </w:tc>
        <w:tc>
          <w:tcPr>
            <w:tcW w:w="10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color w:val="000000"/>
                <w:sz w:val="20"/>
                <w:szCs w:val="20"/>
              </w:rPr>
              <w:t>108.99</w:t>
            </w:r>
            <w:r>
              <w:rPr>
                <w:rFonts w:ascii="Times New Roman" w:hAnsi="Times New Roman"/>
                <w:color w:val="000000"/>
                <w:sz w:val="20"/>
                <w:u w:color="auto"/>
              </w:rPr>
              <w:t xml:space="preserve"> </w:t>
            </w:r>
          </w:p>
        </w:tc>
        <w:tc>
          <w:tcPr>
            <w:tcW w:w="108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r>
      <w:tr>
        <w:tblPrEx>
          <w:tblCellMar>
            <w:top w:w="0" w:type="dxa"/>
            <w:left w:w="0" w:type="dxa"/>
            <w:bottom w:w="0" w:type="dxa"/>
            <w:right w:w="0" w:type="dxa"/>
          </w:tblCellMar>
        </w:tblPrEx>
        <w:trPr>
          <w:trHeight w:val="308" w:hRule="atLeast"/>
        </w:trPr>
        <w:tc>
          <w:tcPr>
            <w:tcW w:w="42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32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10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color w:val="000000"/>
                <w:sz w:val="20"/>
                <w:szCs w:val="20"/>
              </w:rPr>
              <w:t>6.83</w:t>
            </w:r>
            <w:r>
              <w:rPr>
                <w:rFonts w:ascii="Times New Roman" w:hAnsi="Times New Roman"/>
                <w:b/>
                <w:color w:val="000000"/>
                <w:sz w:val="20"/>
                <w:u w:color="auto"/>
              </w:rPr>
              <w:t xml:space="preserve"> </w:t>
            </w:r>
          </w:p>
        </w:tc>
        <w:tc>
          <w:tcPr>
            <w:tcW w:w="10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color w:val="000000"/>
                <w:sz w:val="20"/>
                <w:szCs w:val="20"/>
              </w:rPr>
              <w:t>6.83</w:t>
            </w:r>
            <w:r>
              <w:rPr>
                <w:rFonts w:ascii="Times New Roman" w:hAnsi="Times New Roman"/>
                <w:b/>
                <w:color w:val="000000"/>
                <w:sz w:val="20"/>
                <w:u w:color="auto"/>
              </w:rPr>
              <w:t xml:space="preserve"> </w:t>
            </w:r>
          </w:p>
        </w:tc>
        <w:tc>
          <w:tcPr>
            <w:tcW w:w="108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08" w:hRule="atLeast"/>
        </w:trPr>
        <w:tc>
          <w:tcPr>
            <w:tcW w:w="42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32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10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color w:val="000000"/>
                <w:sz w:val="20"/>
                <w:szCs w:val="20"/>
              </w:rPr>
              <w:t>6.83</w:t>
            </w:r>
            <w:r>
              <w:rPr>
                <w:rFonts w:ascii="Times New Roman" w:hAnsi="Times New Roman"/>
                <w:b/>
                <w:color w:val="000000"/>
                <w:sz w:val="20"/>
                <w:u w:color="auto"/>
              </w:rPr>
              <w:t xml:space="preserve"> </w:t>
            </w:r>
          </w:p>
        </w:tc>
        <w:tc>
          <w:tcPr>
            <w:tcW w:w="10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color w:val="000000"/>
                <w:sz w:val="20"/>
                <w:szCs w:val="20"/>
              </w:rPr>
              <w:t>6.83</w:t>
            </w:r>
            <w:r>
              <w:rPr>
                <w:rFonts w:ascii="Times New Roman" w:hAnsi="Times New Roman"/>
                <w:b/>
                <w:color w:val="000000"/>
                <w:sz w:val="20"/>
                <w:u w:color="auto"/>
              </w:rPr>
              <w:t xml:space="preserve"> </w:t>
            </w:r>
          </w:p>
        </w:tc>
        <w:tc>
          <w:tcPr>
            <w:tcW w:w="108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08" w:hRule="atLeast"/>
        </w:trPr>
        <w:tc>
          <w:tcPr>
            <w:tcW w:w="42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32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10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color w:val="000000"/>
                <w:sz w:val="20"/>
                <w:szCs w:val="20"/>
              </w:rPr>
              <w:t>6.83</w:t>
            </w:r>
            <w:r>
              <w:rPr>
                <w:rFonts w:ascii="Times New Roman" w:hAnsi="Times New Roman"/>
                <w:color w:val="000000"/>
                <w:sz w:val="20"/>
                <w:u w:color="auto"/>
              </w:rPr>
              <w:t xml:space="preserve"> </w:t>
            </w:r>
          </w:p>
        </w:tc>
        <w:tc>
          <w:tcPr>
            <w:tcW w:w="10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color w:val="000000"/>
                <w:sz w:val="20"/>
                <w:szCs w:val="20"/>
              </w:rPr>
              <w:t>6.83</w:t>
            </w:r>
            <w:r>
              <w:rPr>
                <w:rFonts w:ascii="Times New Roman" w:hAnsi="Times New Roman"/>
                <w:color w:val="000000"/>
                <w:sz w:val="20"/>
                <w:u w:color="auto"/>
              </w:rPr>
              <w:t xml:space="preserve"> </w:t>
            </w:r>
          </w:p>
        </w:tc>
        <w:tc>
          <w:tcPr>
            <w:tcW w:w="108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r>
    </w:tbl>
    <w:p>
      <w:pPr>
        <w:rPr>
          <w:rFonts w:hint="default" w:cs="宋体"/>
          <w:sz w:val="21"/>
          <w:szCs w:val="21"/>
        </w:rPr>
      </w:pPr>
      <w:r>
        <w:rPr>
          <w:rFonts w:cs="宋体"/>
          <w:sz w:val="20"/>
          <w:szCs w:val="20"/>
        </w:rPr>
        <w:t>备注：1.本表反映单位本年度一般公共预算财政拨款支出情况。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ind w:firstLine="630" w:firstLineChars="300"/>
        <w:rPr>
          <w:rFonts w:hint="default" w:cs="宋体"/>
          <w:sz w:val="21"/>
          <w:szCs w:val="21"/>
        </w:rPr>
      </w:pPr>
      <w:r>
        <w:rPr>
          <w:rFonts w:cs="宋体"/>
          <w:sz w:val="21"/>
          <w:szCs w:val="21"/>
        </w:rPr>
        <w:br w:type="page"/>
      </w:r>
    </w:p>
    <w:tbl>
      <w:tblPr>
        <w:tblStyle w:val="11"/>
        <w:tblW w:w="4994" w:type="pct"/>
        <w:tblInd w:w="0" w:type="dxa"/>
        <w:tblLayout w:type="fixed"/>
        <w:tblCellMar>
          <w:top w:w="0" w:type="dxa"/>
          <w:left w:w="0" w:type="dxa"/>
          <w:bottom w:w="0" w:type="dxa"/>
          <w:right w:w="0" w:type="dxa"/>
        </w:tblCellMar>
      </w:tblPr>
      <w:tblGrid>
        <w:gridCol w:w="803"/>
        <w:gridCol w:w="2809"/>
        <w:gridCol w:w="1541"/>
        <w:gridCol w:w="873"/>
        <w:gridCol w:w="2032"/>
        <w:gridCol w:w="1418"/>
        <w:gridCol w:w="873"/>
        <w:gridCol w:w="3463"/>
        <w:gridCol w:w="1492"/>
      </w:tblGrid>
      <w:tr>
        <w:tblPrEx>
          <w:tblCellMar>
            <w:top w:w="0" w:type="dxa"/>
            <w:left w:w="0" w:type="dxa"/>
            <w:bottom w:w="0" w:type="dxa"/>
            <w:right w:w="0" w:type="dxa"/>
          </w:tblCellMar>
        </w:tblPrEx>
        <w:trPr>
          <w:trHeight w:val="90" w:hRule="atLeast"/>
        </w:trPr>
        <w:tc>
          <w:tcPr>
            <w:tcW w:w="5000" w:type="pct"/>
            <w:gridSpan w:val="9"/>
            <w:tcBorders>
              <w:top w:val="nil"/>
              <w:left w:val="nil"/>
              <w:bottom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default" w:cs="宋体"/>
                <w:b/>
                <w:color w:val="000000"/>
                <w:sz w:val="32"/>
                <w:szCs w:val="32"/>
              </w:rPr>
            </w:pPr>
            <w:r>
              <w:rPr>
                <w:rFonts w:cs="宋体"/>
                <w:b/>
                <w:color w:val="000000"/>
                <w:sz w:val="32"/>
                <w:szCs w:val="32"/>
              </w:rPr>
              <w:t>一般公共预算财政拨款基本支出决算表</w:t>
            </w:r>
          </w:p>
        </w:tc>
      </w:tr>
      <w:tr>
        <w:tblPrEx>
          <w:tblCellMar>
            <w:top w:w="0" w:type="dxa"/>
            <w:left w:w="0" w:type="dxa"/>
            <w:bottom w:w="0" w:type="dxa"/>
            <w:right w:w="0" w:type="dxa"/>
          </w:tblCellMar>
        </w:tblPrEx>
        <w:trPr>
          <w:trHeight w:val="334" w:hRule="atLeast"/>
        </w:trPr>
        <w:tc>
          <w:tcPr>
            <w:tcW w:w="2632" w:type="pct"/>
            <w:gridSpan w:val="5"/>
            <w:vMerge w:val="restart"/>
            <w:tcBorders>
              <w:top w:val="nil"/>
              <w:left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default" w:cs="宋体"/>
                <w:color w:val="000000"/>
                <w:sz w:val="18"/>
                <w:szCs w:val="18"/>
              </w:rPr>
            </w:pPr>
            <w:r>
              <w:rPr>
                <w:rFonts w:cs="宋体"/>
                <w:sz w:val="20"/>
                <w:szCs w:val="20"/>
              </w:rPr>
              <w:t>单位</w:t>
            </w:r>
            <w:r>
              <w:rPr>
                <w:rFonts w:cs="宋体"/>
                <w:color w:val="000000"/>
                <w:sz w:val="20"/>
                <w:szCs w:val="20"/>
              </w:rPr>
              <w:t>：</w:t>
            </w:r>
            <w:r>
              <w:rPr>
                <w:color w:val="000000"/>
                <w:sz w:val="20"/>
                <w:u w:color="auto"/>
              </w:rPr>
              <w:t>重庆市大足区智凤街道社区事务服务中心</w:t>
            </w:r>
          </w:p>
        </w:tc>
        <w:tc>
          <w:tcPr>
            <w:tcW w:w="463" w:type="pct"/>
            <w:tcBorders>
              <w:top w:val="nil"/>
              <w:left w:val="nil"/>
              <w:bottom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00" w:lineRule="exact"/>
              <w:rPr>
                <w:rFonts w:hint="default" w:cs="宋体"/>
                <w:color w:val="000000"/>
                <w:sz w:val="18"/>
                <w:szCs w:val="18"/>
              </w:rPr>
            </w:pPr>
          </w:p>
        </w:tc>
        <w:tc>
          <w:tcPr>
            <w:tcW w:w="285" w:type="pct"/>
            <w:tcBorders>
              <w:top w:val="nil"/>
              <w:left w:val="nil"/>
              <w:bottom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00" w:lineRule="exact"/>
              <w:rPr>
                <w:rFonts w:hint="default" w:cs="宋体"/>
                <w:color w:val="000000"/>
                <w:sz w:val="18"/>
                <w:szCs w:val="18"/>
              </w:rPr>
            </w:pPr>
          </w:p>
        </w:tc>
        <w:tc>
          <w:tcPr>
            <w:tcW w:w="1131" w:type="pct"/>
            <w:tcBorders>
              <w:top w:val="nil"/>
              <w:left w:val="nil"/>
              <w:bottom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00" w:lineRule="exact"/>
              <w:rPr>
                <w:rFonts w:hint="default" w:cs="宋体"/>
                <w:color w:val="000000"/>
                <w:sz w:val="18"/>
                <w:szCs w:val="18"/>
              </w:rPr>
            </w:pPr>
          </w:p>
        </w:tc>
        <w:tc>
          <w:tcPr>
            <w:tcW w:w="487" w:type="pct"/>
            <w:tcBorders>
              <w:top w:val="nil"/>
              <w:left w:val="nil"/>
              <w:bottom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jc w:val="right"/>
              <w:textAlignment w:val="bottom"/>
              <w:rPr>
                <w:rFonts w:hint="default" w:cs="宋体"/>
                <w:color w:val="000000"/>
                <w:sz w:val="20"/>
                <w:szCs w:val="20"/>
              </w:rPr>
            </w:pPr>
            <w:r>
              <w:rPr>
                <w:rFonts w:cs="宋体"/>
                <w:color w:val="000000"/>
                <w:sz w:val="20"/>
                <w:szCs w:val="20"/>
              </w:rPr>
              <w:t>公开</w:t>
            </w:r>
            <w:r>
              <w:rPr>
                <w:rFonts w:hint="default" w:ascii="Times New Roman" w:hAnsi="Times New Roman" w:cs="Times New Roman"/>
                <w:color w:val="000000"/>
                <w:sz w:val="20"/>
                <w:szCs w:val="20"/>
              </w:rPr>
              <w:t>06</w:t>
            </w:r>
            <w:r>
              <w:rPr>
                <w:rFonts w:cs="宋体"/>
                <w:color w:val="000000"/>
                <w:sz w:val="20"/>
                <w:szCs w:val="20"/>
              </w:rPr>
              <w:t>表</w:t>
            </w:r>
          </w:p>
        </w:tc>
      </w:tr>
      <w:tr>
        <w:tblPrEx>
          <w:tblCellMar>
            <w:top w:w="0" w:type="dxa"/>
            <w:left w:w="0" w:type="dxa"/>
            <w:bottom w:w="0" w:type="dxa"/>
            <w:right w:w="0" w:type="dxa"/>
          </w:tblCellMar>
        </w:tblPrEx>
        <w:trPr>
          <w:trHeight w:val="520" w:hRule="atLeast"/>
        </w:trPr>
        <w:tc>
          <w:tcPr>
            <w:tcW w:w="2632" w:type="pct"/>
            <w:gridSpan w:val="5"/>
            <w:vMerge w:val="continue"/>
            <w:tcBorders>
              <w:left w:val="nil"/>
              <w:bottom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00" w:lineRule="exact"/>
              <w:rPr>
                <w:rFonts w:hint="default" w:cs="宋体"/>
                <w:color w:val="000000"/>
                <w:sz w:val="18"/>
                <w:szCs w:val="18"/>
              </w:rPr>
            </w:pPr>
          </w:p>
        </w:tc>
        <w:tc>
          <w:tcPr>
            <w:tcW w:w="463" w:type="pct"/>
            <w:tcBorders>
              <w:top w:val="nil"/>
              <w:left w:val="nil"/>
              <w:bottom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00" w:lineRule="exact"/>
              <w:rPr>
                <w:rFonts w:hint="default" w:cs="宋体"/>
                <w:color w:val="000000"/>
                <w:sz w:val="18"/>
                <w:szCs w:val="18"/>
              </w:rPr>
            </w:pPr>
          </w:p>
        </w:tc>
        <w:tc>
          <w:tcPr>
            <w:tcW w:w="285" w:type="pct"/>
            <w:tcBorders>
              <w:top w:val="nil"/>
              <w:left w:val="nil"/>
              <w:bottom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00" w:lineRule="exact"/>
              <w:rPr>
                <w:rFonts w:hint="default" w:cs="宋体"/>
                <w:color w:val="000000"/>
                <w:sz w:val="18"/>
                <w:szCs w:val="18"/>
              </w:rPr>
            </w:pPr>
          </w:p>
        </w:tc>
        <w:tc>
          <w:tcPr>
            <w:tcW w:w="1131" w:type="pct"/>
            <w:tcBorders>
              <w:top w:val="nil"/>
              <w:left w:val="nil"/>
              <w:bottom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00" w:lineRule="exact"/>
              <w:rPr>
                <w:rFonts w:hint="default" w:cs="宋体"/>
                <w:color w:val="000000"/>
                <w:sz w:val="18"/>
                <w:szCs w:val="18"/>
              </w:rPr>
            </w:pPr>
          </w:p>
        </w:tc>
        <w:tc>
          <w:tcPr>
            <w:tcW w:w="487" w:type="pct"/>
            <w:tcBorders>
              <w:top w:val="nil"/>
              <w:left w:val="nil"/>
              <w:bottom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1683" w:type="pct"/>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center"/>
              <w:textAlignment w:val="center"/>
              <w:rPr>
                <w:rFonts w:hint="default" w:cs="宋体"/>
                <w:b/>
                <w:color w:val="000000"/>
                <w:sz w:val="18"/>
                <w:szCs w:val="18"/>
              </w:rPr>
            </w:pPr>
            <w:r>
              <w:rPr>
                <w:rFonts w:cs="宋体"/>
                <w:b/>
                <w:color w:val="000000"/>
                <w:sz w:val="18"/>
                <w:szCs w:val="18"/>
              </w:rPr>
              <w:t>人员经费</w:t>
            </w:r>
          </w:p>
        </w:tc>
        <w:tc>
          <w:tcPr>
            <w:tcW w:w="3316" w:type="pct"/>
            <w:gridSpan w:val="6"/>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center"/>
              <w:textAlignment w:val="center"/>
              <w:rPr>
                <w:rFonts w:hint="default" w:cs="宋体"/>
                <w:b/>
                <w:color w:val="000000"/>
                <w:sz w:val="18"/>
                <w:szCs w:val="18"/>
              </w:rPr>
            </w:pPr>
            <w:r>
              <w:rPr>
                <w:rFonts w:cs="宋体"/>
                <w:b/>
                <w:color w:val="000000"/>
                <w:sz w:val="18"/>
                <w:szCs w:val="18"/>
              </w:rPr>
              <w:t>公用经费</w:t>
            </w:r>
          </w:p>
        </w:tc>
      </w:tr>
      <w:tr>
        <w:tblPrEx>
          <w:tblCellMar>
            <w:top w:w="0" w:type="dxa"/>
            <w:left w:w="0" w:type="dxa"/>
            <w:bottom w:w="0" w:type="dxa"/>
            <w:right w:w="0" w:type="dxa"/>
          </w:tblCellMar>
        </w:tblPrEx>
        <w:trPr>
          <w:trHeight w:val="312" w:hRule="atLeast"/>
        </w:trPr>
        <w:tc>
          <w:tcPr>
            <w:tcW w:w="262" w:type="pct"/>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917"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503"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center"/>
              <w:textAlignment w:val="center"/>
              <w:rPr>
                <w:rFonts w:hint="default" w:cs="宋体"/>
                <w:b/>
                <w:color w:val="000000"/>
                <w:sz w:val="18"/>
                <w:szCs w:val="18"/>
              </w:rPr>
            </w:pPr>
            <w:r>
              <w:rPr>
                <w:rFonts w:cs="宋体"/>
                <w:b/>
                <w:color w:val="000000"/>
                <w:sz w:val="18"/>
                <w:szCs w:val="18"/>
              </w:rPr>
              <w:t>金额</w:t>
            </w:r>
          </w:p>
        </w:tc>
        <w:tc>
          <w:tcPr>
            <w:tcW w:w="285" w:type="pct"/>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663"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463"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center"/>
              <w:textAlignment w:val="center"/>
              <w:rPr>
                <w:rFonts w:hint="default" w:cs="宋体"/>
                <w:b/>
                <w:color w:val="000000"/>
                <w:sz w:val="18"/>
                <w:szCs w:val="18"/>
              </w:rPr>
            </w:pPr>
            <w:r>
              <w:rPr>
                <w:rFonts w:cs="宋体"/>
                <w:b/>
                <w:color w:val="000000"/>
                <w:sz w:val="18"/>
                <w:szCs w:val="18"/>
              </w:rPr>
              <w:t>金额</w:t>
            </w:r>
          </w:p>
        </w:tc>
        <w:tc>
          <w:tcPr>
            <w:tcW w:w="285" w:type="pct"/>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1131"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487"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center"/>
              <w:textAlignment w:val="center"/>
              <w:rPr>
                <w:rFonts w:hint="default" w:cs="宋体"/>
                <w:b/>
                <w:color w:val="000000"/>
                <w:sz w:val="18"/>
                <w:szCs w:val="18"/>
              </w:rPr>
            </w:pPr>
            <w:r>
              <w:rPr>
                <w:rFonts w:cs="宋体"/>
                <w:b/>
                <w:color w:val="000000"/>
                <w:sz w:val="18"/>
                <w:szCs w:val="18"/>
              </w:rPr>
              <w:t>金额</w:t>
            </w:r>
          </w:p>
        </w:tc>
      </w:tr>
      <w:tr>
        <w:tblPrEx>
          <w:tblCellMar>
            <w:top w:w="0" w:type="dxa"/>
            <w:left w:w="0" w:type="dxa"/>
            <w:bottom w:w="0" w:type="dxa"/>
            <w:right w:w="0" w:type="dxa"/>
          </w:tblCellMar>
        </w:tblPrEx>
        <w:trPr>
          <w:trHeight w:val="312" w:hRule="atLeast"/>
        </w:trPr>
        <w:tc>
          <w:tcPr>
            <w:tcW w:w="262" w:type="pct"/>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center"/>
              <w:rPr>
                <w:rFonts w:hint="default" w:cs="宋体"/>
                <w:b/>
                <w:color w:val="000000"/>
                <w:sz w:val="18"/>
                <w:szCs w:val="18"/>
              </w:rPr>
            </w:pPr>
          </w:p>
        </w:tc>
        <w:tc>
          <w:tcPr>
            <w:tcW w:w="917"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center"/>
              <w:rPr>
                <w:rFonts w:hint="default" w:cs="宋体"/>
                <w:b/>
                <w:color w:val="000000"/>
                <w:sz w:val="18"/>
                <w:szCs w:val="18"/>
              </w:rPr>
            </w:pPr>
          </w:p>
        </w:tc>
        <w:tc>
          <w:tcPr>
            <w:tcW w:w="503"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center"/>
              <w:rPr>
                <w:rFonts w:hint="default" w:cs="宋体"/>
                <w:b/>
                <w:color w:val="000000"/>
                <w:sz w:val="18"/>
                <w:szCs w:val="18"/>
              </w:rPr>
            </w:pPr>
          </w:p>
        </w:tc>
        <w:tc>
          <w:tcPr>
            <w:tcW w:w="285" w:type="pct"/>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center"/>
              <w:rPr>
                <w:rFonts w:hint="default" w:cs="宋体"/>
                <w:b/>
                <w:color w:val="000000"/>
                <w:sz w:val="18"/>
                <w:szCs w:val="18"/>
              </w:rPr>
            </w:pPr>
          </w:p>
        </w:tc>
        <w:tc>
          <w:tcPr>
            <w:tcW w:w="663"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center"/>
              <w:rPr>
                <w:rFonts w:hint="default" w:cs="宋体"/>
                <w:b/>
                <w:color w:val="000000"/>
                <w:sz w:val="18"/>
                <w:szCs w:val="18"/>
              </w:rPr>
            </w:pPr>
          </w:p>
        </w:tc>
        <w:tc>
          <w:tcPr>
            <w:tcW w:w="463"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center"/>
              <w:rPr>
                <w:rFonts w:hint="default" w:cs="宋体"/>
                <w:b/>
                <w:color w:val="000000"/>
                <w:sz w:val="18"/>
                <w:szCs w:val="18"/>
              </w:rPr>
            </w:pPr>
          </w:p>
        </w:tc>
        <w:tc>
          <w:tcPr>
            <w:tcW w:w="285" w:type="pct"/>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center"/>
              <w:rPr>
                <w:rFonts w:hint="default" w:cs="宋体"/>
                <w:b/>
                <w:color w:val="000000"/>
                <w:sz w:val="18"/>
                <w:szCs w:val="18"/>
              </w:rPr>
            </w:pPr>
          </w:p>
        </w:tc>
        <w:tc>
          <w:tcPr>
            <w:tcW w:w="1131"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center"/>
              <w:rPr>
                <w:rFonts w:hint="default" w:cs="宋体"/>
                <w:b/>
                <w:color w:val="000000"/>
                <w:sz w:val="18"/>
                <w:szCs w:val="18"/>
              </w:rPr>
            </w:pPr>
          </w:p>
        </w:tc>
        <w:tc>
          <w:tcPr>
            <w:tcW w:w="487"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center"/>
              <w:rPr>
                <w:rFonts w:hint="default" w:cs="宋体"/>
                <w:b/>
                <w:color w:val="000000"/>
                <w:sz w:val="18"/>
                <w:szCs w:val="18"/>
              </w:rPr>
            </w:pP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b/>
                <w:bCs/>
                <w:color w:val="000000"/>
                <w:sz w:val="18"/>
                <w:szCs w:val="18"/>
              </w:rPr>
            </w:pPr>
            <w:r>
              <w:rPr>
                <w:rFonts w:cs="宋体"/>
                <w:b/>
                <w:bCs/>
                <w:color w:val="000000"/>
                <w:sz w:val="18"/>
                <w:szCs w:val="18"/>
              </w:rPr>
              <w:t>301</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b/>
                <w:bCs/>
                <w:color w:val="000000"/>
                <w:sz w:val="18"/>
                <w:szCs w:val="18"/>
              </w:rPr>
            </w:pPr>
            <w:r>
              <w:rPr>
                <w:rFonts w:cs="宋体"/>
                <w:b/>
                <w:bCs/>
                <w:color w:val="000000"/>
                <w:sz w:val="18"/>
                <w:szCs w:val="18"/>
              </w:rPr>
              <w:t>工资福利支出</w:t>
            </w: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129.87</w:t>
            </w: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b/>
                <w:bCs/>
                <w:color w:val="000000"/>
                <w:sz w:val="18"/>
                <w:szCs w:val="18"/>
              </w:rPr>
            </w:pPr>
            <w:r>
              <w:rPr>
                <w:rFonts w:cs="宋体"/>
                <w:b/>
                <w:bCs/>
                <w:color w:val="000000"/>
                <w:sz w:val="18"/>
                <w:szCs w:val="18"/>
              </w:rPr>
              <w:t>302</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b/>
                <w:bCs/>
                <w:color w:val="000000"/>
                <w:sz w:val="18"/>
                <w:szCs w:val="18"/>
              </w:rPr>
            </w:pPr>
            <w:r>
              <w:rPr>
                <w:rFonts w:cs="宋体"/>
                <w:b/>
                <w:bCs/>
                <w:color w:val="000000"/>
                <w:sz w:val="18"/>
                <w:szCs w:val="18"/>
              </w:rPr>
              <w:t>商品和服务支出</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6.73</w:t>
            </w: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b/>
                <w:bCs/>
                <w:color w:val="000000"/>
                <w:sz w:val="18"/>
                <w:szCs w:val="18"/>
              </w:rPr>
            </w:pPr>
            <w:r>
              <w:rPr>
                <w:rFonts w:cs="宋体"/>
                <w:b/>
                <w:bCs/>
                <w:color w:val="000000"/>
                <w:sz w:val="18"/>
                <w:szCs w:val="18"/>
              </w:rPr>
              <w:t>310</w:t>
            </w: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b/>
                <w:bCs/>
                <w:color w:val="000000"/>
                <w:sz w:val="18"/>
                <w:szCs w:val="18"/>
              </w:rPr>
            </w:pPr>
            <w:r>
              <w:rPr>
                <w:rFonts w:cs="宋体"/>
                <w:b/>
                <w:bCs/>
                <w:color w:val="000000"/>
                <w:sz w:val="18"/>
                <w:szCs w:val="18"/>
              </w:rPr>
              <w:t>资本性支出</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30101</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基本工资</w:t>
            </w: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34.62</w:t>
            </w: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30201</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办公费</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31001</w:t>
            </w: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房屋建筑物购建</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30102</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津贴补贴</w:t>
            </w: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1.38</w:t>
            </w: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30202</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印刷费</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31002</w:t>
            </w: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办公设备购置</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30103</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奖金</w:t>
            </w: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30203</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咨询费</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31003</w:t>
            </w: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专用设备购置</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30106</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伙食补助费</w:t>
            </w: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30204</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手续费</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31005</w:t>
            </w: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基础设施建设</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30107</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绩效工资</w:t>
            </w: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66.25</w:t>
            </w: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30205</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水费</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31006</w:t>
            </w: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大型修缮</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30108</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机关事业单位基本养老保险缴费</w:t>
            </w: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9.10</w:t>
            </w: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30206</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电费</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31007</w:t>
            </w: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信息网络及软件购置更新</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30109</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职业年金缴费</w:t>
            </w: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4.55</w:t>
            </w: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30207</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邮电费</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31008</w:t>
            </w: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物资储备</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30110</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职工基本医疗保险缴费</w:t>
            </w: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5.69</w:t>
            </w: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30208</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取暖费</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31009</w:t>
            </w: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土地补偿</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30111</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公务员医疗补助缴费</w:t>
            </w: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30209</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物业管理费</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31010</w:t>
            </w: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安置补助</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30112</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其他社会保障缴费</w:t>
            </w: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0.17</w:t>
            </w: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30211</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差旅费</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31011</w:t>
            </w: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地上附着物和青苗补偿</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30113</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住房公积金</w:t>
            </w: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6.83</w:t>
            </w: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30212</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因公出国（境）费用</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31012</w:t>
            </w: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拆迁补偿</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30114</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医疗费</w:t>
            </w: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1.28</w:t>
            </w: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30213</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维修（护）费</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31013</w:t>
            </w: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公务用车购置</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30199</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其他工资福利支出</w:t>
            </w: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30214</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租赁费</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31019</w:t>
            </w: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其他交通工具购置</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b/>
                <w:bCs/>
                <w:color w:val="000000"/>
                <w:sz w:val="18"/>
                <w:szCs w:val="18"/>
              </w:rPr>
            </w:pPr>
            <w:r>
              <w:rPr>
                <w:rFonts w:cs="宋体"/>
                <w:b/>
                <w:bCs/>
                <w:color w:val="000000"/>
                <w:sz w:val="18"/>
                <w:szCs w:val="18"/>
              </w:rPr>
              <w:t>303</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b/>
                <w:bCs/>
                <w:color w:val="000000"/>
                <w:sz w:val="18"/>
                <w:szCs w:val="18"/>
              </w:rPr>
            </w:pPr>
            <w:r>
              <w:rPr>
                <w:rFonts w:cs="宋体"/>
                <w:b/>
                <w:bCs/>
                <w:color w:val="000000"/>
                <w:sz w:val="18"/>
                <w:szCs w:val="18"/>
              </w:rPr>
              <w:t>对个人和家庭的补助</w:t>
            </w: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30215</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会议费</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31021</w:t>
            </w: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文物和陈列品购置</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30301</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离休费</w:t>
            </w: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30216</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培训费</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0.85</w:t>
            </w: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31022</w:t>
            </w: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无形资产购置</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30302</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退休费</w:t>
            </w: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30217</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公务接待费</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0.55</w:t>
            </w: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31099</w:t>
            </w: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其他资本性支出</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30303</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退职（役）费</w:t>
            </w: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30218</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专用材料费</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b/>
                <w:bCs/>
                <w:color w:val="000000"/>
                <w:sz w:val="18"/>
                <w:szCs w:val="18"/>
              </w:rPr>
            </w:pPr>
            <w:r>
              <w:rPr>
                <w:rFonts w:cs="宋体"/>
                <w:b/>
                <w:bCs/>
                <w:color w:val="000000"/>
                <w:sz w:val="18"/>
                <w:szCs w:val="18"/>
              </w:rPr>
              <w:t>312</w:t>
            </w: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b/>
                <w:bCs/>
                <w:color w:val="000000"/>
                <w:sz w:val="18"/>
                <w:szCs w:val="18"/>
              </w:rPr>
            </w:pPr>
            <w:r>
              <w:rPr>
                <w:rFonts w:cs="宋体"/>
                <w:b/>
                <w:bCs/>
                <w:color w:val="000000"/>
                <w:sz w:val="18"/>
                <w:szCs w:val="18"/>
              </w:rPr>
              <w:t>对企业补助</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30304</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抚恤金</w:t>
            </w: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30224</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被装购置费</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31201</w:t>
            </w: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资本金注入</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30305</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生活补助</w:t>
            </w: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30225</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专用燃料费</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31203</w:t>
            </w: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政府投资基金股权投资</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30306</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救济费</w:t>
            </w: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30226</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劳务费</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1.44</w:t>
            </w: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31204</w:t>
            </w: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费用补贴</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30307</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医疗费补助</w:t>
            </w: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30227</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委托业务费</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31205</w:t>
            </w: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利息补贴</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30308</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助学金</w:t>
            </w: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30228</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工会经费</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0.68</w:t>
            </w: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31206</w:t>
            </w: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ind w:firstLine="180" w:firstLineChars="100"/>
              <w:textAlignment w:val="center"/>
              <w:rPr>
                <w:rFonts w:hint="default" w:cs="宋体"/>
                <w:color w:val="000000"/>
                <w:sz w:val="18"/>
                <w:szCs w:val="18"/>
              </w:rPr>
            </w:pPr>
            <w:r>
              <w:rPr>
                <w:rFonts w:cs="宋体"/>
                <w:color w:val="000000"/>
                <w:sz w:val="18"/>
                <w:szCs w:val="18"/>
              </w:rPr>
              <w:t>其他资本性补助</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30309</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奖励金</w:t>
            </w: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30229</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福利费</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1.71</w:t>
            </w: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31299</w:t>
            </w: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其他对企业补助</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30310</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个人农业生产补贴</w:t>
            </w: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30231</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公务用车运行维护费</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b/>
                <w:bCs/>
                <w:color w:val="000000"/>
                <w:sz w:val="18"/>
                <w:szCs w:val="18"/>
              </w:rPr>
            </w:pPr>
            <w:r>
              <w:rPr>
                <w:rFonts w:cs="宋体"/>
                <w:b/>
                <w:bCs/>
                <w:color w:val="000000"/>
                <w:sz w:val="18"/>
                <w:szCs w:val="18"/>
              </w:rPr>
              <w:t>399</w:t>
            </w: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b/>
                <w:bCs/>
                <w:color w:val="000000"/>
                <w:sz w:val="18"/>
                <w:szCs w:val="18"/>
              </w:rPr>
            </w:pPr>
            <w:r>
              <w:rPr>
                <w:rFonts w:cs="宋体"/>
                <w:b/>
                <w:bCs/>
                <w:color w:val="000000"/>
                <w:sz w:val="18"/>
                <w:szCs w:val="18"/>
              </w:rPr>
              <w:t>其他支出</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30311</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代缴社会保险费</w:t>
            </w: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30239</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其他交通费用</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39907</w:t>
            </w: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国家赔偿费用支出</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30399</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其他对个人和家庭的补助</w:t>
            </w: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30240</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税金及附加费用</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39908</w:t>
            </w: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对民间非营利组织和群众性自治组织补贴</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rPr>
                <w:rFonts w:hint="default" w:cs="宋体"/>
                <w:color w:val="000000"/>
                <w:sz w:val="18"/>
                <w:szCs w:val="18"/>
              </w:rPr>
            </w:pP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rPr>
                <w:rFonts w:hint="default" w:cs="宋体"/>
                <w:color w:val="000000"/>
                <w:sz w:val="18"/>
                <w:szCs w:val="18"/>
              </w:rPr>
            </w:pP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192" w:lineRule="exact"/>
              <w:rPr>
                <w:rFonts w:hint="default" w:cs="宋体"/>
                <w:color w:val="000000"/>
                <w:sz w:val="18"/>
                <w:szCs w:val="18"/>
              </w:rPr>
            </w:pP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30299</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其他商品和服务支出</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1.50</w:t>
            </w: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39909</w:t>
            </w: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经常性赠与</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rPr>
                <w:rFonts w:hint="default" w:cs="宋体"/>
                <w:color w:val="000000"/>
                <w:sz w:val="18"/>
                <w:szCs w:val="18"/>
              </w:rPr>
            </w:pP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rPr>
                <w:rFonts w:hint="default" w:cs="宋体"/>
                <w:color w:val="000000"/>
                <w:sz w:val="18"/>
                <w:szCs w:val="18"/>
              </w:rPr>
            </w:pP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192" w:lineRule="exact"/>
              <w:rPr>
                <w:rFonts w:hint="default" w:cs="宋体"/>
                <w:color w:val="000000"/>
                <w:sz w:val="18"/>
                <w:szCs w:val="18"/>
              </w:rPr>
            </w:pP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b/>
                <w:bCs/>
                <w:color w:val="000000"/>
                <w:sz w:val="18"/>
                <w:szCs w:val="18"/>
              </w:rPr>
            </w:pPr>
            <w:r>
              <w:rPr>
                <w:rFonts w:cs="宋体"/>
                <w:b/>
                <w:bCs/>
                <w:color w:val="000000"/>
                <w:sz w:val="18"/>
                <w:szCs w:val="18"/>
              </w:rPr>
              <w:t>307</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b/>
                <w:bCs/>
                <w:color w:val="000000"/>
                <w:sz w:val="18"/>
                <w:szCs w:val="18"/>
              </w:rPr>
            </w:pPr>
            <w:r>
              <w:rPr>
                <w:rFonts w:cs="宋体"/>
                <w:b/>
                <w:bCs/>
                <w:color w:val="000000"/>
                <w:sz w:val="18"/>
                <w:szCs w:val="18"/>
              </w:rPr>
              <w:t>债务利息及费用支出</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39910</w:t>
            </w: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资本性赠与</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rPr>
                <w:rFonts w:hint="default" w:cs="宋体"/>
                <w:color w:val="000000"/>
                <w:sz w:val="18"/>
                <w:szCs w:val="18"/>
              </w:rPr>
            </w:pP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rPr>
                <w:rFonts w:hint="default" w:cs="宋体"/>
                <w:color w:val="000000"/>
                <w:sz w:val="18"/>
                <w:szCs w:val="18"/>
              </w:rPr>
            </w:pP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192" w:lineRule="exact"/>
              <w:rPr>
                <w:rFonts w:hint="default" w:cs="宋体"/>
                <w:color w:val="000000"/>
                <w:sz w:val="18"/>
                <w:szCs w:val="18"/>
              </w:rPr>
            </w:pP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30701</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国内债务付息</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39999</w:t>
            </w: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其他支出</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rPr>
                <w:rFonts w:hint="default" w:cs="宋体"/>
                <w:color w:val="000000"/>
                <w:sz w:val="18"/>
                <w:szCs w:val="18"/>
              </w:rPr>
            </w:pP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rPr>
                <w:rFonts w:hint="default" w:cs="宋体"/>
                <w:color w:val="000000"/>
                <w:sz w:val="18"/>
                <w:szCs w:val="18"/>
              </w:rPr>
            </w:pP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192" w:lineRule="exact"/>
              <w:rPr>
                <w:rFonts w:hint="default" w:cs="宋体"/>
                <w:color w:val="000000"/>
                <w:sz w:val="18"/>
                <w:szCs w:val="18"/>
              </w:rPr>
            </w:pP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30702</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国外债务付息</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rPr>
                <w:rFonts w:hint="default" w:cs="宋体"/>
                <w:color w:val="000000"/>
                <w:sz w:val="18"/>
                <w:szCs w:val="18"/>
              </w:rPr>
            </w:pP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rPr>
                <w:rFonts w:hint="default" w:cs="宋体"/>
                <w:color w:val="000000"/>
                <w:sz w:val="18"/>
                <w:szCs w:val="18"/>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rPr>
                <w:rFonts w:hint="default" w:ascii="Times New Roman" w:hAnsi="Times New Roman"/>
                <w:color w:val="000000"/>
                <w:sz w:val="18"/>
                <w:szCs w:val="18"/>
              </w:rPr>
            </w:pPr>
          </w:p>
        </w:tc>
      </w:tr>
      <w:tr>
        <w:tblPrEx>
          <w:tblCellMar>
            <w:top w:w="0" w:type="dxa"/>
            <w:left w:w="0" w:type="dxa"/>
            <w:bottom w:w="0" w:type="dxa"/>
            <w:right w:w="0" w:type="dxa"/>
          </w:tblCellMar>
        </w:tblPrEx>
        <w:trPr>
          <w:trHeight w:val="9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rPr>
                <w:rFonts w:hint="default" w:cs="宋体"/>
                <w:color w:val="000000"/>
                <w:sz w:val="18"/>
                <w:szCs w:val="18"/>
              </w:rPr>
            </w:pP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rPr>
                <w:rFonts w:hint="default" w:cs="宋体"/>
                <w:color w:val="000000"/>
                <w:sz w:val="18"/>
                <w:szCs w:val="18"/>
              </w:rPr>
            </w:pP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192" w:lineRule="exact"/>
              <w:rPr>
                <w:rFonts w:hint="default" w:cs="宋体"/>
                <w:color w:val="000000"/>
                <w:sz w:val="18"/>
                <w:szCs w:val="18"/>
              </w:rPr>
            </w:pP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30703</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国内债务发行费用</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rPr>
                <w:rFonts w:hint="default" w:cs="宋体"/>
                <w:color w:val="000000"/>
                <w:sz w:val="18"/>
                <w:szCs w:val="18"/>
              </w:rPr>
            </w:pP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rPr>
                <w:rFonts w:hint="default" w:cs="宋体"/>
                <w:color w:val="000000"/>
                <w:sz w:val="18"/>
                <w:szCs w:val="18"/>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rPr>
                <w:rFonts w:hint="default" w:ascii="Times New Roman" w:hAnsi="Times New Roman"/>
                <w:color w:val="000000"/>
                <w:sz w:val="18"/>
                <w:szCs w:val="18"/>
              </w:rPr>
            </w:pPr>
          </w:p>
        </w:tc>
      </w:tr>
      <w:tr>
        <w:tblPrEx>
          <w:tblCellMar>
            <w:top w:w="0" w:type="dxa"/>
            <w:left w:w="0" w:type="dxa"/>
            <w:bottom w:w="0" w:type="dxa"/>
            <w:right w:w="0" w:type="dxa"/>
          </w:tblCellMar>
        </w:tblPrEx>
        <w:trPr>
          <w:trHeight w:val="155"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rPr>
                <w:rFonts w:hint="default" w:cs="宋体"/>
                <w:color w:val="000000"/>
                <w:sz w:val="18"/>
                <w:szCs w:val="18"/>
              </w:rPr>
            </w:pP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rPr>
                <w:rFonts w:hint="default" w:cs="宋体"/>
                <w:color w:val="000000"/>
                <w:sz w:val="18"/>
                <w:szCs w:val="18"/>
              </w:rPr>
            </w:pP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192" w:lineRule="exact"/>
              <w:rPr>
                <w:rFonts w:hint="default" w:cs="宋体"/>
                <w:color w:val="000000"/>
                <w:sz w:val="18"/>
                <w:szCs w:val="18"/>
              </w:rPr>
            </w:pP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30704</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textAlignment w:val="center"/>
              <w:rPr>
                <w:rFonts w:hint="default" w:cs="宋体"/>
                <w:color w:val="000000"/>
                <w:sz w:val="18"/>
                <w:szCs w:val="18"/>
              </w:rPr>
            </w:pPr>
            <w:r>
              <w:rPr>
                <w:rFonts w:cs="宋体"/>
                <w:color w:val="000000"/>
                <w:sz w:val="18"/>
                <w:szCs w:val="18"/>
              </w:rPr>
              <w:t xml:space="preserve">  国外债务发行费用</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rPr>
                <w:rFonts w:hint="default" w:cs="宋体"/>
                <w:color w:val="000000"/>
                <w:sz w:val="18"/>
                <w:szCs w:val="18"/>
              </w:rPr>
            </w:pPr>
          </w:p>
        </w:tc>
        <w:tc>
          <w:tcPr>
            <w:tcW w:w="113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rPr>
                <w:rFonts w:hint="default" w:cs="宋体"/>
                <w:color w:val="000000"/>
                <w:sz w:val="18"/>
                <w:szCs w:val="18"/>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rPr>
                <w:rFonts w:hint="default" w:ascii="Times New Roman" w:hAnsi="Times New Roman"/>
                <w:color w:val="000000"/>
                <w:sz w:val="18"/>
                <w:szCs w:val="18"/>
              </w:rPr>
            </w:pPr>
          </w:p>
        </w:tc>
      </w:tr>
      <w:tr>
        <w:tblPrEx>
          <w:tblCellMar>
            <w:top w:w="0" w:type="dxa"/>
            <w:left w:w="0" w:type="dxa"/>
            <w:bottom w:w="0" w:type="dxa"/>
            <w:right w:w="0" w:type="dxa"/>
          </w:tblCellMar>
        </w:tblPrEx>
        <w:trPr>
          <w:trHeight w:val="310" w:hRule="atLeast"/>
        </w:trPr>
        <w:tc>
          <w:tcPr>
            <w:tcW w:w="1180" w:type="pct"/>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center"/>
              <w:textAlignment w:val="center"/>
              <w:rPr>
                <w:rFonts w:hint="default" w:cs="宋体"/>
                <w:b/>
                <w:color w:val="000000"/>
                <w:sz w:val="18"/>
                <w:szCs w:val="18"/>
              </w:rPr>
            </w:pPr>
            <w:r>
              <w:rPr>
                <w:rFonts w:cs="宋体"/>
                <w:b/>
                <w:color w:val="000000"/>
                <w:sz w:val="18"/>
                <w:szCs w:val="18"/>
              </w:rPr>
              <w:t>人员经费合计</w:t>
            </w:r>
          </w:p>
        </w:tc>
        <w:tc>
          <w:tcPr>
            <w:tcW w:w="50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192" w:lineRule="exact"/>
              <w:jc w:val="right"/>
              <w:textAlignment w:val="bottom"/>
              <w:rPr>
                <w:rFonts w:hint="default" w:ascii="Times New Roman" w:hAnsi="Times New Roman"/>
                <w:color w:val="000000"/>
                <w:sz w:val="18"/>
                <w:szCs w:val="18"/>
              </w:rPr>
            </w:pPr>
            <w:r>
              <w:rPr>
                <w:rFonts w:hint="default" w:ascii="Times New Roman" w:hAnsi="Times New Roman"/>
                <w:color w:val="000000"/>
                <w:sz w:val="18"/>
                <w:szCs w:val="18"/>
              </w:rPr>
              <w:t>129.87</w:t>
            </w:r>
            <w:r>
              <w:rPr>
                <w:rFonts w:ascii="Times New Roman" w:hAnsi="Times New Roman"/>
                <w:color w:val="000000"/>
                <w:sz w:val="18"/>
                <w:u w:color="auto"/>
              </w:rPr>
              <w:t xml:space="preserve"> </w:t>
            </w:r>
          </w:p>
        </w:tc>
        <w:tc>
          <w:tcPr>
            <w:tcW w:w="2828" w:type="pct"/>
            <w:gridSpan w:val="5"/>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center"/>
              <w:textAlignment w:val="center"/>
              <w:rPr>
                <w:rFonts w:hint="default" w:cs="宋体"/>
                <w:b/>
                <w:color w:val="000000"/>
                <w:sz w:val="18"/>
                <w:szCs w:val="18"/>
              </w:rPr>
            </w:pPr>
            <w:r>
              <w:rPr>
                <w:rFonts w:cs="宋体"/>
                <w:b/>
                <w:color w:val="000000"/>
                <w:sz w:val="18"/>
                <w:szCs w:val="18"/>
              </w:rPr>
              <w:t>公用经费合计</w:t>
            </w:r>
          </w:p>
        </w:tc>
        <w:tc>
          <w:tcPr>
            <w:tcW w:w="48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192" w:lineRule="exact"/>
              <w:jc w:val="right"/>
              <w:textAlignment w:val="center"/>
              <w:rPr>
                <w:rFonts w:hint="default" w:ascii="Times New Roman" w:hAnsi="Times New Roman"/>
                <w:color w:val="000000"/>
                <w:sz w:val="18"/>
                <w:szCs w:val="18"/>
              </w:rPr>
            </w:pPr>
            <w:r>
              <w:rPr>
                <w:rFonts w:hint="default" w:ascii="Times New Roman" w:hAnsi="Times New Roman"/>
                <w:color w:val="000000"/>
                <w:sz w:val="18"/>
                <w:szCs w:val="18"/>
              </w:rPr>
              <w:t>6.73</w:t>
            </w:r>
            <w:r>
              <w:rPr>
                <w:rFonts w:ascii="Times New Roman" w:hAnsi="Times New Roman"/>
                <w:color w:val="000000"/>
                <w:sz w:val="18"/>
                <w:u w:color="auto"/>
              </w:rPr>
              <w:t xml:space="preserve"> </w:t>
            </w:r>
          </w:p>
        </w:tc>
      </w:tr>
    </w:tbl>
    <w:p>
      <w:pPr>
        <w:keepNext w:val="0"/>
        <w:keepLines w:val="0"/>
        <w:pageBreakBefore w:val="0"/>
        <w:widowControl/>
        <w:kinsoku/>
        <w:wordWrap/>
        <w:overflowPunct/>
        <w:topLinePunct w:val="0"/>
        <w:autoSpaceDE/>
        <w:autoSpaceDN/>
        <w:bidi w:val="0"/>
        <w:adjustRightInd/>
        <w:snapToGrid/>
        <w:spacing w:line="280" w:lineRule="exact"/>
        <w:rPr>
          <w:rFonts w:hint="default" w:cs="宋体"/>
          <w:sz w:val="20"/>
          <w:szCs w:val="20"/>
        </w:rPr>
      </w:pPr>
      <w:r>
        <w:rPr>
          <w:rFonts w:cs="宋体"/>
          <w:sz w:val="20"/>
          <w:szCs w:val="20"/>
        </w:rPr>
        <w:t>备注：1.本表反映单位本年度一般公共预算财政拨款基本支出明细情况。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11"/>
        <w:tblW w:w="5000" w:type="pct"/>
        <w:tblInd w:w="0" w:type="dxa"/>
        <w:tblLayout w:type="fixed"/>
        <w:tblCellMar>
          <w:top w:w="0" w:type="dxa"/>
          <w:left w:w="0" w:type="dxa"/>
          <w:bottom w:w="0" w:type="dxa"/>
          <w:right w:w="0" w:type="dxa"/>
        </w:tblCellMar>
      </w:tblPr>
      <w:tblGrid>
        <w:gridCol w:w="1320"/>
        <w:gridCol w:w="3594"/>
        <w:gridCol w:w="1701"/>
        <w:gridCol w:w="1701"/>
        <w:gridCol w:w="1701"/>
        <w:gridCol w:w="1701"/>
        <w:gridCol w:w="1765"/>
        <w:gridCol w:w="1839"/>
      </w:tblGrid>
      <w:tr>
        <w:tblPrEx>
          <w:tblCellMar>
            <w:top w:w="0" w:type="dxa"/>
            <w:left w:w="0" w:type="dxa"/>
            <w:bottom w:w="0" w:type="dxa"/>
            <w:right w:w="0" w:type="dxa"/>
          </w:tblCellMar>
        </w:tblPrEx>
        <w:trPr>
          <w:trHeight w:val="64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政府性基金预算财政拨款收入支出决算表</w:t>
            </w:r>
          </w:p>
        </w:tc>
      </w:tr>
      <w:tr>
        <w:tblPrEx>
          <w:tblCellMar>
            <w:top w:w="0" w:type="dxa"/>
            <w:left w:w="0" w:type="dxa"/>
            <w:bottom w:w="0" w:type="dxa"/>
            <w:right w:w="0" w:type="dxa"/>
          </w:tblCellMar>
        </w:tblPrEx>
        <w:trPr>
          <w:trHeight w:val="329" w:hRule="atLeast"/>
        </w:trPr>
        <w:tc>
          <w:tcPr>
            <w:tcW w:w="2159" w:type="pct"/>
            <w:gridSpan w:val="3"/>
            <w:vMerge w:val="restart"/>
            <w:tcBorders>
              <w:top w:val="nil"/>
              <w:left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default" w:cs="宋体"/>
                <w:color w:val="000000"/>
                <w:sz w:val="20"/>
                <w:szCs w:val="20"/>
              </w:rPr>
            </w:pPr>
            <w:r>
              <w:rPr>
                <w:rFonts w:cs="宋体"/>
                <w:sz w:val="20"/>
                <w:szCs w:val="20"/>
              </w:rPr>
              <w:t>单位</w:t>
            </w:r>
            <w:r>
              <w:rPr>
                <w:rFonts w:cs="宋体"/>
                <w:color w:val="000000"/>
                <w:sz w:val="20"/>
                <w:szCs w:val="20"/>
              </w:rPr>
              <w:t>：</w:t>
            </w:r>
            <w:r>
              <w:rPr>
                <w:color w:val="000000"/>
                <w:sz w:val="20"/>
                <w:u w:color="auto"/>
              </w:rPr>
              <w:t>重庆市大足区智凤街道社区事务服务中心</w:t>
            </w: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7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99" w:type="pct"/>
            <w:tcBorders>
              <w:top w:val="nil"/>
              <w:left w:val="nil"/>
              <w:bottom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jc w:val="right"/>
              <w:textAlignment w:val="bottom"/>
              <w:rPr>
                <w:rFonts w:hint="default" w:cs="宋体"/>
                <w:color w:val="000000"/>
                <w:sz w:val="20"/>
                <w:szCs w:val="20"/>
              </w:rPr>
            </w:pPr>
            <w:r>
              <w:rPr>
                <w:rFonts w:cs="宋体"/>
                <w:color w:val="000000"/>
                <w:sz w:val="20"/>
                <w:szCs w:val="20"/>
              </w:rPr>
              <w:t>公开</w:t>
            </w:r>
            <w:r>
              <w:rPr>
                <w:rFonts w:hint="default" w:ascii="Times New Roman" w:hAnsi="Times New Roman" w:cs="Times New Roman"/>
                <w:color w:val="000000"/>
                <w:sz w:val="20"/>
                <w:szCs w:val="20"/>
              </w:rPr>
              <w:t>07</w:t>
            </w:r>
            <w:r>
              <w:rPr>
                <w:rFonts w:cs="宋体"/>
                <w:color w:val="000000"/>
                <w:sz w:val="20"/>
                <w:szCs w:val="20"/>
              </w:rPr>
              <w:t>表</w:t>
            </w:r>
          </w:p>
        </w:tc>
      </w:tr>
      <w:tr>
        <w:tblPrEx>
          <w:tblCellMar>
            <w:top w:w="0" w:type="dxa"/>
            <w:left w:w="0" w:type="dxa"/>
            <w:bottom w:w="0" w:type="dxa"/>
            <w:right w:w="0" w:type="dxa"/>
          </w:tblCellMar>
        </w:tblPrEx>
        <w:trPr>
          <w:trHeight w:val="329" w:hRule="atLeast"/>
        </w:trPr>
        <w:tc>
          <w:tcPr>
            <w:tcW w:w="2159"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7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99" w:type="pct"/>
            <w:tcBorders>
              <w:top w:val="nil"/>
              <w:left w:val="nil"/>
              <w:bottom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39" w:hRule="atLeast"/>
        </w:trPr>
        <w:tc>
          <w:tcPr>
            <w:tcW w:w="1604" w:type="pct"/>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555" w:type="pct"/>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年初结转和结余</w:t>
            </w:r>
          </w:p>
        </w:tc>
        <w:tc>
          <w:tcPr>
            <w:tcW w:w="55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w:t>
            </w:r>
          </w:p>
        </w:tc>
        <w:tc>
          <w:tcPr>
            <w:tcW w:w="1686" w:type="pct"/>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年末结转和结余</w:t>
            </w:r>
          </w:p>
        </w:tc>
      </w:tr>
      <w:tr>
        <w:tblPrEx>
          <w:tblCellMar>
            <w:top w:w="0" w:type="dxa"/>
            <w:left w:w="0" w:type="dxa"/>
            <w:bottom w:w="0" w:type="dxa"/>
            <w:right w:w="0" w:type="dxa"/>
          </w:tblCellMar>
        </w:tblPrEx>
        <w:trPr>
          <w:trHeight w:val="335" w:hRule="atLeast"/>
        </w:trPr>
        <w:tc>
          <w:tcPr>
            <w:tcW w:w="4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17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5"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555"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5"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575"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5" w:hRule="atLeast"/>
        </w:trPr>
        <w:tc>
          <w:tcPr>
            <w:tcW w:w="4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117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575"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45" w:hRule="atLeast"/>
        </w:trPr>
        <w:tc>
          <w:tcPr>
            <w:tcW w:w="4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117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575"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1604" w:type="pct"/>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bCs/>
                <w:color w:val="000000"/>
                <w:sz w:val="20"/>
                <w:szCs w:val="20"/>
              </w:rPr>
              <w:t>0.00</w:t>
            </w:r>
            <w:r>
              <w:rPr>
                <w:rFonts w:ascii="Times New Roman" w:hAnsi="Times New Roman"/>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bCs/>
                <w:color w:val="000000"/>
                <w:sz w:val="20"/>
                <w:szCs w:val="20"/>
              </w:rPr>
              <w:t>0.00</w:t>
            </w:r>
            <w:r>
              <w:rPr>
                <w:rFonts w:ascii="Times New Roman" w:hAnsi="Times New Roman"/>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bCs/>
                <w:color w:val="000000"/>
                <w:sz w:val="20"/>
                <w:szCs w:val="20"/>
              </w:rPr>
              <w:t>0.00</w:t>
            </w:r>
            <w:r>
              <w:rPr>
                <w:rFonts w:ascii="Times New Roman" w:hAnsi="Times New Roman"/>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bCs/>
                <w:color w:val="000000"/>
                <w:sz w:val="20"/>
                <w:szCs w:val="20"/>
              </w:rPr>
              <w:t>0.00</w:t>
            </w:r>
            <w:r>
              <w:rPr>
                <w:rFonts w:ascii="Times New Roman" w:hAnsi="Times New Roman"/>
                <w:b/>
                <w:color w:val="000000"/>
                <w:sz w:val="20"/>
                <w:u w:color="auto"/>
              </w:rPr>
              <w:t xml:space="preserve"> </w:t>
            </w:r>
          </w:p>
        </w:tc>
        <w:tc>
          <w:tcPr>
            <w:tcW w:w="5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bCs/>
                <w:color w:val="000000"/>
                <w:sz w:val="20"/>
                <w:szCs w:val="20"/>
              </w:rPr>
              <w:t>0.00</w:t>
            </w:r>
            <w:r>
              <w:rPr>
                <w:rFonts w:ascii="Times New Roman" w:hAnsi="Times New Roman"/>
                <w:b/>
                <w:color w:val="000000"/>
                <w:sz w:val="20"/>
                <w:u w:color="auto"/>
              </w:rPr>
              <w:t xml:space="preserve"> </w:t>
            </w:r>
          </w:p>
        </w:tc>
        <w:tc>
          <w:tcPr>
            <w:tcW w:w="59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bCs/>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349" w:hRule="atLeast"/>
        </w:trPr>
        <w:tc>
          <w:tcPr>
            <w:tcW w:w="43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both"/>
              <w:textAlignment w:val="center"/>
              <w:rPr>
                <w:rFonts w:hint="default" w:cs="宋体"/>
                <w:color w:val="000000"/>
                <w:sz w:val="20"/>
                <w:szCs w:val="20"/>
              </w:rPr>
            </w:pPr>
          </w:p>
        </w:tc>
        <w:tc>
          <w:tcPr>
            <w:tcW w:w="117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both"/>
              <w:textAlignment w:val="center"/>
              <w:rPr>
                <w:rFonts w:hint="default" w:cs="宋体"/>
                <w:color w:val="000000"/>
                <w:sz w:val="20"/>
                <w:szCs w:val="20"/>
              </w:rPr>
            </w:pP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5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c>
          <w:tcPr>
            <w:tcW w:w="59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color w:val="000000"/>
                <w:sz w:val="20"/>
                <w:szCs w:val="20"/>
              </w:rPr>
              <w:t>0.00</w:t>
            </w:r>
            <w:r>
              <w:rPr>
                <w:rFonts w:ascii="Times New Roman" w:hAnsi="Times New Roman"/>
                <w:color w:val="000000"/>
                <w:sz w:val="20"/>
                <w:u w:color="auto"/>
              </w:rPr>
              <w:t xml:space="preserve"> </w:t>
            </w:r>
          </w:p>
        </w:tc>
      </w:tr>
    </w:tbl>
    <w:p>
      <w:pPr>
        <w:rPr>
          <w:rFonts w:hint="default" w:cs="宋体"/>
          <w:sz w:val="21"/>
          <w:szCs w:val="21"/>
        </w:rPr>
      </w:pPr>
      <w:r>
        <w:rPr>
          <w:rFonts w:cs="宋体"/>
          <w:sz w:val="20"/>
          <w:szCs w:val="20"/>
        </w:rPr>
        <w:t>备注：本表反映单位本年度政府性基金预算财政拨款收入支出及结转和结余情况。本单位无政府性基金收支，故本表无数据。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tbl>
      <w:tblPr>
        <w:tblStyle w:val="11"/>
        <w:tblW w:w="5000" w:type="pct"/>
        <w:tblInd w:w="0" w:type="dxa"/>
        <w:tblLayout w:type="fixed"/>
        <w:tblCellMar>
          <w:top w:w="0" w:type="dxa"/>
          <w:left w:w="0" w:type="dxa"/>
          <w:bottom w:w="0" w:type="dxa"/>
          <w:right w:w="0" w:type="dxa"/>
        </w:tblCellMar>
      </w:tblPr>
      <w:tblGrid>
        <w:gridCol w:w="1293"/>
        <w:gridCol w:w="3616"/>
        <w:gridCol w:w="3273"/>
        <w:gridCol w:w="190"/>
        <w:gridCol w:w="3463"/>
        <w:gridCol w:w="86"/>
        <w:gridCol w:w="3401"/>
      </w:tblGrid>
      <w:tr>
        <w:tblPrEx>
          <w:tblCellMar>
            <w:top w:w="0" w:type="dxa"/>
            <w:left w:w="0" w:type="dxa"/>
            <w:bottom w:w="0" w:type="dxa"/>
            <w:right w:w="0" w:type="dxa"/>
          </w:tblCellMar>
        </w:tblPrEx>
        <w:trPr>
          <w:trHeight w:val="65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国有资本经营预算财政拨款支出决算表</w:t>
            </w:r>
          </w:p>
        </w:tc>
      </w:tr>
      <w:tr>
        <w:tblPrEx>
          <w:tblCellMar>
            <w:top w:w="0" w:type="dxa"/>
            <w:left w:w="0" w:type="dxa"/>
            <w:bottom w:w="0" w:type="dxa"/>
            <w:right w:w="0" w:type="dxa"/>
          </w:tblCellMar>
        </w:tblPrEx>
        <w:trPr>
          <w:trHeight w:val="332" w:hRule="atLeast"/>
        </w:trPr>
        <w:tc>
          <w:tcPr>
            <w:tcW w:w="2670" w:type="pct"/>
            <w:gridSpan w:val="3"/>
            <w:vMerge w:val="restart"/>
            <w:tcBorders>
              <w:top w:val="nil"/>
              <w:left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default" w:cs="宋体"/>
                <w:color w:val="000000"/>
                <w:sz w:val="20"/>
                <w:szCs w:val="20"/>
              </w:rPr>
            </w:pPr>
            <w:r>
              <w:rPr>
                <w:rFonts w:cs="宋体"/>
                <w:sz w:val="20"/>
                <w:szCs w:val="20"/>
              </w:rPr>
              <w:t>单位</w:t>
            </w:r>
            <w:r>
              <w:rPr>
                <w:rFonts w:cs="宋体"/>
                <w:color w:val="000000"/>
                <w:sz w:val="20"/>
                <w:szCs w:val="20"/>
              </w:rPr>
              <w:t>：</w:t>
            </w:r>
            <w:r>
              <w:rPr>
                <w:color w:val="000000"/>
                <w:sz w:val="20"/>
                <w:u w:color="auto"/>
              </w:rPr>
              <w:t>重庆市大足区智凤街道社区事务服务中心</w:t>
            </w: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109" w:type="pct"/>
            <w:tcBorders>
              <w:top w:val="nil"/>
              <w:left w:val="nil"/>
              <w:bottom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jc w:val="right"/>
              <w:textAlignment w:val="bottom"/>
              <w:rPr>
                <w:rFonts w:hint="default" w:cs="宋体"/>
                <w:color w:val="000000"/>
                <w:sz w:val="20"/>
                <w:szCs w:val="20"/>
              </w:rPr>
            </w:pPr>
            <w:r>
              <w:rPr>
                <w:rFonts w:cs="宋体"/>
                <w:color w:val="000000"/>
                <w:sz w:val="20"/>
                <w:szCs w:val="20"/>
              </w:rPr>
              <w:t>公开</w:t>
            </w:r>
            <w:r>
              <w:rPr>
                <w:rFonts w:hint="default" w:ascii="Times New Roman" w:hAnsi="Times New Roman" w:cs="Times New Roman"/>
                <w:color w:val="000000"/>
                <w:sz w:val="20"/>
                <w:szCs w:val="20"/>
              </w:rPr>
              <w:t>08</w:t>
            </w:r>
            <w:r>
              <w:rPr>
                <w:rFonts w:cs="宋体"/>
                <w:color w:val="000000"/>
                <w:sz w:val="20"/>
                <w:szCs w:val="20"/>
              </w:rPr>
              <w:t>表</w:t>
            </w:r>
          </w:p>
        </w:tc>
      </w:tr>
      <w:tr>
        <w:tblPrEx>
          <w:tblCellMar>
            <w:top w:w="0" w:type="dxa"/>
            <w:left w:w="0" w:type="dxa"/>
            <w:bottom w:w="0" w:type="dxa"/>
            <w:right w:w="0" w:type="dxa"/>
          </w:tblCellMar>
        </w:tblPrEx>
        <w:trPr>
          <w:trHeight w:val="332" w:hRule="atLeast"/>
        </w:trPr>
        <w:tc>
          <w:tcPr>
            <w:tcW w:w="2670"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109" w:type="pct"/>
            <w:tcBorders>
              <w:top w:val="nil"/>
              <w:left w:val="nil"/>
              <w:bottom w:val="nil"/>
              <w:right w:val="nil"/>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22" w:hRule="atLeast"/>
        </w:trPr>
        <w:tc>
          <w:tcPr>
            <w:tcW w:w="1602"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3397" w:type="pct"/>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39" w:hRule="atLeast"/>
        </w:trPr>
        <w:tc>
          <w:tcPr>
            <w:tcW w:w="422" w:type="pct"/>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180"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科目名称</w:t>
            </w:r>
          </w:p>
        </w:tc>
        <w:tc>
          <w:tcPr>
            <w:tcW w:w="1130" w:type="pct"/>
            <w:gridSpan w:val="2"/>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130"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136" w:type="pct"/>
            <w:gridSpan w:val="2"/>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39" w:hRule="atLeast"/>
        </w:trPr>
        <w:tc>
          <w:tcPr>
            <w:tcW w:w="422" w:type="pct"/>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1180"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1136" w:type="pct"/>
            <w:gridSpan w:val="2"/>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422" w:type="pct"/>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1180"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1136" w:type="pct"/>
            <w:gridSpan w:val="2"/>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26" w:hRule="atLeast"/>
        </w:trPr>
        <w:tc>
          <w:tcPr>
            <w:tcW w:w="422" w:type="pct"/>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1180"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c>
          <w:tcPr>
            <w:tcW w:w="1136" w:type="pct"/>
            <w:gridSpan w:val="2"/>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1" w:hRule="atLeast"/>
        </w:trPr>
        <w:tc>
          <w:tcPr>
            <w:tcW w:w="1602" w:type="pct"/>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130"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bCs/>
                <w:color w:val="000000"/>
                <w:sz w:val="20"/>
                <w:szCs w:val="20"/>
              </w:rPr>
              <w:t>0.00</w:t>
            </w:r>
            <w:r>
              <w:rPr>
                <w:rFonts w:ascii="Times New Roman" w:hAnsi="Times New Roman"/>
                <w:b/>
                <w:color w:val="000000"/>
                <w:sz w:val="20"/>
                <w:u w:color="auto"/>
              </w:rPr>
              <w:t xml:space="preserve"> </w:t>
            </w:r>
          </w:p>
        </w:tc>
        <w:tc>
          <w:tcPr>
            <w:tcW w:w="113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Times New Roman" w:hAnsi="Times New Roman"/>
                <w:b/>
                <w:color w:val="000000"/>
                <w:sz w:val="20"/>
                <w:szCs w:val="20"/>
              </w:rPr>
            </w:pPr>
          </w:p>
        </w:tc>
        <w:tc>
          <w:tcPr>
            <w:tcW w:w="1136"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b/>
                <w:bCs/>
                <w:color w:val="000000"/>
                <w:sz w:val="20"/>
                <w:szCs w:val="20"/>
              </w:rPr>
              <w:t>0.00</w:t>
            </w:r>
            <w:r>
              <w:rPr>
                <w:rFonts w:ascii="Times New Roman" w:hAnsi="Times New Roman"/>
                <w:b/>
                <w:color w:val="000000"/>
                <w:sz w:val="20"/>
                <w:u w:color="auto"/>
              </w:rPr>
              <w:t xml:space="preserve"> </w:t>
            </w:r>
          </w:p>
        </w:tc>
      </w:tr>
      <w:tr>
        <w:tblPrEx>
          <w:tblCellMar>
            <w:top w:w="0" w:type="dxa"/>
            <w:left w:w="0" w:type="dxa"/>
            <w:bottom w:w="0" w:type="dxa"/>
            <w:right w:w="0" w:type="dxa"/>
          </w:tblCellMar>
        </w:tblPrEx>
        <w:trPr>
          <w:trHeight w:val="488" w:hRule="atLeast"/>
        </w:trPr>
        <w:tc>
          <w:tcPr>
            <w:tcW w:w="422"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p>
        </w:tc>
        <w:tc>
          <w:tcPr>
            <w:tcW w:w="118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p>
        </w:tc>
        <w:tc>
          <w:tcPr>
            <w:tcW w:w="1130"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color w:val="000000"/>
                <w:sz w:val="20"/>
                <w:szCs w:val="20"/>
              </w:rPr>
              <w:t xml:space="preserve">0.00 </w:t>
            </w:r>
          </w:p>
        </w:tc>
        <w:tc>
          <w:tcPr>
            <w:tcW w:w="113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Times New Roman" w:hAnsi="Times New Roman"/>
                <w:b/>
                <w:color w:val="000000"/>
                <w:sz w:val="20"/>
                <w:szCs w:val="20"/>
              </w:rPr>
            </w:pPr>
          </w:p>
        </w:tc>
        <w:tc>
          <w:tcPr>
            <w:tcW w:w="1136"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ascii="Times New Roman" w:hAnsi="Times New Roman"/>
                <w:b/>
                <w:color w:val="000000"/>
                <w:sz w:val="20"/>
                <w:szCs w:val="20"/>
              </w:rPr>
            </w:pPr>
            <w:r>
              <w:rPr>
                <w:rFonts w:hint="default" w:ascii="Times New Roman" w:hAnsi="Times New Roman"/>
                <w:color w:val="000000"/>
                <w:sz w:val="20"/>
                <w:szCs w:val="20"/>
              </w:rPr>
              <w:t xml:space="preserve">0.00 </w:t>
            </w:r>
          </w:p>
        </w:tc>
      </w:tr>
    </w:tbl>
    <w:p>
      <w:pPr>
        <w:rPr>
          <w:rFonts w:hint="default" w:cs="宋体"/>
          <w:sz w:val="21"/>
          <w:szCs w:val="21"/>
        </w:rPr>
      </w:pPr>
      <w:r>
        <w:rPr>
          <w:rFonts w:cs="宋体"/>
          <w:sz w:val="20"/>
          <w:szCs w:val="20"/>
        </w:rPr>
        <w:t>备注：本表反映单位本年度国有资本经营预算财政拨款支出情况。本单位无国有资本经营收支，故本表无数据。</w:t>
      </w:r>
      <w:r>
        <w:rPr>
          <w:rFonts w:cs="宋体"/>
          <w:sz w:val="20"/>
          <w:szCs w:val="20"/>
        </w:rPr>
        <w:br w:type="textWrapping"/>
      </w:r>
      <w:r>
        <w:rPr>
          <w:rFonts w:cs="宋体"/>
          <w:sz w:val="20"/>
          <w:szCs w:val="20"/>
        </w:rPr>
        <w:br w:type="textWrapping"/>
      </w:r>
    </w:p>
    <w:p>
      <w:pPr>
        <w:rPr>
          <w:rFonts w:hint="default" w:cs="宋体"/>
          <w:sz w:val="21"/>
          <w:szCs w:val="21"/>
        </w:rPr>
      </w:pPr>
      <w:r>
        <w:rPr>
          <w:rFonts w:hint="default" w:cs="宋体"/>
          <w:sz w:val="21"/>
          <w:szCs w:val="21"/>
        </w:rPr>
        <w:br w:type="page"/>
      </w:r>
    </w:p>
    <w:tbl>
      <w:tblPr>
        <w:tblStyle w:val="11"/>
        <w:tblW w:w="4611" w:type="pct"/>
        <w:tblInd w:w="0" w:type="dxa"/>
        <w:tblLayout w:type="fixed"/>
        <w:tblCellMar>
          <w:top w:w="0" w:type="dxa"/>
          <w:left w:w="170" w:type="dxa"/>
          <w:bottom w:w="0" w:type="dxa"/>
          <w:right w:w="170" w:type="dxa"/>
        </w:tblCellMar>
      </w:tblPr>
      <w:tblGrid>
        <w:gridCol w:w="3179"/>
        <w:gridCol w:w="2416"/>
        <w:gridCol w:w="2375"/>
        <w:gridCol w:w="3674"/>
        <w:gridCol w:w="2487"/>
      </w:tblGrid>
      <w:tr>
        <w:tblPrEx>
          <w:tblCellMar>
            <w:top w:w="0" w:type="dxa"/>
            <w:left w:w="170" w:type="dxa"/>
            <w:bottom w:w="0" w:type="dxa"/>
            <w:right w:w="170" w:type="dxa"/>
          </w:tblCellMar>
        </w:tblPrEx>
        <w:trPr>
          <w:trHeight w:val="343" w:hRule="atLeast"/>
        </w:trPr>
        <w:tc>
          <w:tcPr>
            <w:tcW w:w="5000" w:type="pct"/>
            <w:gridSpan w:val="5"/>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kern w:val="2"/>
                <w:sz w:val="32"/>
                <w:szCs w:val="32"/>
              </w:rPr>
            </w:pPr>
            <w:r>
              <w:rPr>
                <w:rFonts w:cs="宋体"/>
                <w:b/>
                <w:color w:val="000000"/>
                <w:kern w:val="2"/>
                <w:sz w:val="32"/>
                <w:szCs w:val="32"/>
              </w:rPr>
              <w:t>机构运行信息表</w:t>
            </w:r>
          </w:p>
        </w:tc>
      </w:tr>
      <w:tr>
        <w:tblPrEx>
          <w:tblCellMar>
            <w:top w:w="0" w:type="dxa"/>
            <w:left w:w="170" w:type="dxa"/>
            <w:bottom w:w="0" w:type="dxa"/>
            <w:right w:w="170" w:type="dxa"/>
          </w:tblCellMar>
        </w:tblPrEx>
        <w:trPr>
          <w:trHeight w:val="244" w:hRule="atLeast"/>
        </w:trPr>
        <w:tc>
          <w:tcPr>
            <w:tcW w:w="1124" w:type="pct"/>
            <w:shd w:val="clear" w:color="auto" w:fill="auto"/>
            <w:noWrap/>
            <w:tcMar>
              <w:top w:w="15" w:type="dxa"/>
              <w:left w:w="15" w:type="dxa"/>
              <w:right w:w="15" w:type="dxa"/>
            </w:tcMar>
            <w:vAlign w:val="bottom"/>
          </w:tcPr>
          <w:p>
            <w:pPr>
              <w:spacing w:line="280" w:lineRule="exact"/>
              <w:rPr>
                <w:rFonts w:hint="default" w:cs="宋体"/>
                <w:color w:val="000000"/>
                <w:kern w:val="2"/>
                <w:sz w:val="20"/>
                <w:szCs w:val="20"/>
              </w:rPr>
            </w:pPr>
          </w:p>
        </w:tc>
        <w:tc>
          <w:tcPr>
            <w:tcW w:w="854" w:type="pct"/>
            <w:shd w:val="clear" w:color="auto" w:fill="auto"/>
            <w:noWrap/>
            <w:tcMar>
              <w:top w:w="15" w:type="dxa"/>
              <w:left w:w="15" w:type="dxa"/>
              <w:right w:w="15" w:type="dxa"/>
            </w:tcMar>
            <w:vAlign w:val="bottom"/>
          </w:tcPr>
          <w:p>
            <w:pPr>
              <w:spacing w:line="280" w:lineRule="exact"/>
              <w:jc w:val="center"/>
              <w:rPr>
                <w:rFonts w:hint="default" w:cs="宋体"/>
                <w:color w:val="000000"/>
                <w:kern w:val="2"/>
                <w:sz w:val="20"/>
                <w:szCs w:val="20"/>
              </w:rPr>
            </w:pPr>
          </w:p>
        </w:tc>
        <w:tc>
          <w:tcPr>
            <w:tcW w:w="840" w:type="pct"/>
            <w:shd w:val="clear" w:color="auto" w:fill="auto"/>
            <w:noWrap/>
            <w:tcMar>
              <w:top w:w="15" w:type="dxa"/>
              <w:left w:w="15" w:type="dxa"/>
              <w:right w:w="15" w:type="dxa"/>
            </w:tcMar>
            <w:vAlign w:val="bottom"/>
          </w:tcPr>
          <w:p>
            <w:pPr>
              <w:spacing w:line="280" w:lineRule="exact"/>
              <w:jc w:val="right"/>
              <w:rPr>
                <w:rFonts w:hint="default" w:cs="宋体"/>
                <w:color w:val="000000"/>
                <w:kern w:val="2"/>
                <w:sz w:val="20"/>
                <w:szCs w:val="20"/>
              </w:rPr>
            </w:pPr>
          </w:p>
        </w:tc>
        <w:tc>
          <w:tcPr>
            <w:tcW w:w="1299" w:type="pct"/>
            <w:shd w:val="clear" w:color="auto" w:fill="auto"/>
            <w:noWrap/>
            <w:tcMar>
              <w:top w:w="15" w:type="dxa"/>
              <w:left w:w="15" w:type="dxa"/>
              <w:right w:w="15" w:type="dxa"/>
            </w:tcMar>
            <w:vAlign w:val="bottom"/>
          </w:tcPr>
          <w:p>
            <w:pPr>
              <w:spacing w:line="280" w:lineRule="exact"/>
              <w:rPr>
                <w:rFonts w:hint="default" w:cs="宋体"/>
                <w:color w:val="000000"/>
                <w:kern w:val="2"/>
                <w:sz w:val="20"/>
                <w:szCs w:val="20"/>
              </w:rPr>
            </w:pPr>
          </w:p>
        </w:tc>
        <w:tc>
          <w:tcPr>
            <w:tcW w:w="879" w:type="pct"/>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kern w:val="2"/>
                <w:sz w:val="20"/>
                <w:szCs w:val="20"/>
              </w:rPr>
            </w:pPr>
            <w:r>
              <w:rPr>
                <w:rFonts w:cs="宋体"/>
                <w:color w:val="000000"/>
                <w:kern w:val="2"/>
                <w:sz w:val="20"/>
                <w:szCs w:val="20"/>
              </w:rPr>
              <w:t>公开</w:t>
            </w:r>
            <w:r>
              <w:rPr>
                <w:rFonts w:hint="default" w:ascii="Times New Roman" w:hAnsi="Times New Roman"/>
                <w:color w:val="000000"/>
                <w:kern w:val="2"/>
                <w:sz w:val="20"/>
                <w:szCs w:val="20"/>
              </w:rPr>
              <w:t>09</w:t>
            </w:r>
            <w:r>
              <w:rPr>
                <w:rFonts w:cs="宋体"/>
                <w:color w:val="000000"/>
                <w:kern w:val="2"/>
                <w:sz w:val="20"/>
                <w:szCs w:val="20"/>
              </w:rPr>
              <w:t>表</w:t>
            </w:r>
          </w:p>
        </w:tc>
      </w:tr>
      <w:tr>
        <w:tblPrEx>
          <w:tblCellMar>
            <w:top w:w="0" w:type="dxa"/>
            <w:left w:w="170" w:type="dxa"/>
            <w:bottom w:w="0" w:type="dxa"/>
            <w:right w:w="170" w:type="dxa"/>
          </w:tblCellMar>
        </w:tblPrEx>
        <w:trPr>
          <w:trHeight w:val="244" w:hRule="atLeast"/>
        </w:trPr>
        <w:tc>
          <w:tcPr>
            <w:tcW w:w="1979" w:type="pct"/>
            <w:gridSpan w:val="2"/>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kern w:val="2"/>
                <w:sz w:val="20"/>
                <w:szCs w:val="20"/>
              </w:rPr>
            </w:pPr>
            <w:r>
              <w:rPr>
                <w:rFonts w:hint="eastAsia" w:cs="宋体"/>
                <w:kern w:val="2"/>
                <w:sz w:val="20"/>
                <w:szCs w:val="20"/>
                <w:lang w:eastAsia="zh-CN"/>
              </w:rPr>
              <w:t>单位</w:t>
            </w:r>
            <w:r>
              <w:rPr>
                <w:rFonts w:cs="宋体"/>
                <w:color w:val="000000"/>
                <w:kern w:val="2"/>
                <w:sz w:val="20"/>
                <w:szCs w:val="20"/>
              </w:rPr>
              <w:t>：</w:t>
            </w:r>
            <w:r>
              <w:rPr>
                <w:color w:val="000000"/>
                <w:sz w:val="20"/>
                <w:u w:color="auto"/>
              </w:rPr>
              <w:t>重庆市大足区智凤街道社区事务服务中心</w:t>
            </w:r>
          </w:p>
        </w:tc>
        <w:tc>
          <w:tcPr>
            <w:tcW w:w="840"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kern w:val="2"/>
                <w:sz w:val="20"/>
                <w:szCs w:val="20"/>
              </w:rPr>
            </w:pPr>
          </w:p>
        </w:tc>
        <w:tc>
          <w:tcPr>
            <w:tcW w:w="1299"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kern w:val="2"/>
                <w:sz w:val="20"/>
                <w:szCs w:val="20"/>
              </w:rPr>
            </w:pPr>
          </w:p>
        </w:tc>
        <w:tc>
          <w:tcPr>
            <w:tcW w:w="879"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kern w:val="2"/>
                <w:sz w:val="20"/>
                <w:szCs w:val="20"/>
              </w:rPr>
            </w:pPr>
            <w:r>
              <w:rPr>
                <w:rFonts w:cs="宋体"/>
                <w:color w:val="000000"/>
                <w:kern w:val="2"/>
                <w:sz w:val="20"/>
                <w:szCs w:val="20"/>
              </w:rPr>
              <w:t>单位：</w:t>
            </w:r>
            <w:r>
              <w:rPr>
                <w:rFonts w:cs="宋体"/>
                <w:kern w:val="2"/>
                <w:sz w:val="20"/>
                <w:szCs w:val="20"/>
              </w:rPr>
              <w:t>万元</w:t>
            </w:r>
          </w:p>
        </w:tc>
      </w:tr>
      <w:tr>
        <w:tblPrEx>
          <w:tblCellMar>
            <w:top w:w="0" w:type="dxa"/>
            <w:left w:w="170" w:type="dxa"/>
            <w:bottom w:w="0" w:type="dxa"/>
            <w:right w:w="170" w:type="dxa"/>
          </w:tblCellMar>
        </w:tblPrEx>
        <w:trPr>
          <w:trHeight w:val="282" w:hRule="atLeast"/>
        </w:trPr>
        <w:tc>
          <w:tcPr>
            <w:tcW w:w="112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cs="宋体"/>
                <w:b/>
                <w:color w:val="000000"/>
                <w:kern w:val="2"/>
                <w:sz w:val="16"/>
                <w:szCs w:val="16"/>
              </w:rPr>
            </w:pPr>
            <w:r>
              <w:rPr>
                <w:rFonts w:cs="宋体"/>
                <w:b/>
                <w:color w:val="000000"/>
                <w:kern w:val="2"/>
                <w:sz w:val="16"/>
                <w:szCs w:val="16"/>
              </w:rPr>
              <w:t>项  目</w:t>
            </w:r>
          </w:p>
        </w:tc>
        <w:tc>
          <w:tcPr>
            <w:tcW w:w="85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cs="宋体"/>
                <w:b/>
                <w:color w:val="000000"/>
                <w:kern w:val="2"/>
                <w:sz w:val="16"/>
                <w:szCs w:val="16"/>
              </w:rPr>
            </w:pPr>
            <w:r>
              <w:rPr>
                <w:rFonts w:cs="宋体"/>
                <w:b/>
                <w:color w:val="000000"/>
                <w:kern w:val="2"/>
                <w:sz w:val="16"/>
                <w:szCs w:val="16"/>
              </w:rPr>
              <w:t>预算数</w:t>
            </w:r>
          </w:p>
        </w:tc>
        <w:tc>
          <w:tcPr>
            <w:tcW w:w="840"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cs="宋体"/>
                <w:b/>
                <w:color w:val="000000"/>
                <w:kern w:val="2"/>
                <w:sz w:val="16"/>
                <w:szCs w:val="16"/>
              </w:rPr>
            </w:pPr>
            <w:r>
              <w:rPr>
                <w:rFonts w:cs="宋体"/>
                <w:b/>
                <w:color w:val="000000"/>
                <w:kern w:val="2"/>
                <w:sz w:val="16"/>
                <w:szCs w:val="16"/>
              </w:rPr>
              <w:t>决算数</w:t>
            </w:r>
          </w:p>
        </w:tc>
        <w:tc>
          <w:tcPr>
            <w:tcW w:w="129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cs="宋体"/>
                <w:b/>
                <w:color w:val="000000"/>
                <w:kern w:val="2"/>
                <w:sz w:val="16"/>
                <w:szCs w:val="16"/>
              </w:rPr>
            </w:pPr>
            <w:r>
              <w:rPr>
                <w:rFonts w:cs="宋体"/>
                <w:b/>
                <w:color w:val="000000"/>
                <w:kern w:val="2"/>
                <w:sz w:val="16"/>
                <w:szCs w:val="16"/>
              </w:rPr>
              <w:t>项  目</w:t>
            </w:r>
          </w:p>
        </w:tc>
        <w:tc>
          <w:tcPr>
            <w:tcW w:w="87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cs="宋体"/>
                <w:b/>
                <w:color w:val="000000"/>
                <w:kern w:val="2"/>
                <w:sz w:val="16"/>
                <w:szCs w:val="16"/>
              </w:rPr>
            </w:pPr>
            <w:r>
              <w:rPr>
                <w:rFonts w:cs="宋体"/>
                <w:b/>
                <w:color w:val="000000"/>
                <w:kern w:val="2"/>
                <w:sz w:val="16"/>
                <w:szCs w:val="16"/>
              </w:rPr>
              <w:t>决算数</w:t>
            </w:r>
          </w:p>
        </w:tc>
      </w:tr>
      <w:tr>
        <w:tblPrEx>
          <w:tblCellMar>
            <w:top w:w="0" w:type="dxa"/>
            <w:left w:w="170" w:type="dxa"/>
            <w:bottom w:w="0" w:type="dxa"/>
            <w:right w:w="170" w:type="dxa"/>
          </w:tblCellMar>
        </w:tblPrEx>
        <w:trPr>
          <w:trHeight w:val="282" w:hRule="atLeast"/>
        </w:trPr>
        <w:tc>
          <w:tcPr>
            <w:tcW w:w="112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color w:val="000000"/>
                <w:kern w:val="2"/>
                <w:sz w:val="16"/>
                <w:szCs w:val="16"/>
              </w:rPr>
            </w:pPr>
            <w:r>
              <w:rPr>
                <w:rFonts w:cs="宋体"/>
                <w:b/>
                <w:color w:val="000000"/>
                <w:kern w:val="2"/>
                <w:sz w:val="16"/>
                <w:szCs w:val="16"/>
              </w:rPr>
              <w:t>一、“三公”经费支出</w:t>
            </w:r>
          </w:p>
        </w:tc>
        <w:tc>
          <w:tcPr>
            <w:tcW w:w="85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color w:val="000000"/>
                <w:kern w:val="2"/>
                <w:sz w:val="18"/>
                <w:szCs w:val="18"/>
              </w:rPr>
            </w:pPr>
            <w:r>
              <w:rPr>
                <w:rFonts w:hint="default" w:ascii="Times New Roman" w:hAnsi="Times New Roman"/>
                <w:color w:val="000000"/>
                <w:kern w:val="2"/>
                <w:sz w:val="18"/>
                <w:szCs w:val="18"/>
              </w:rPr>
              <w:t>—</w:t>
            </w:r>
          </w:p>
        </w:tc>
        <w:tc>
          <w:tcPr>
            <w:tcW w:w="840"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color w:val="000000"/>
                <w:kern w:val="2"/>
                <w:sz w:val="18"/>
                <w:szCs w:val="18"/>
              </w:rPr>
            </w:pPr>
            <w:r>
              <w:rPr>
                <w:rFonts w:hint="default" w:ascii="Times New Roman" w:hAnsi="Times New Roman"/>
                <w:color w:val="000000"/>
                <w:kern w:val="2"/>
                <w:sz w:val="18"/>
                <w:szCs w:val="18"/>
              </w:rPr>
              <w:t>—</w:t>
            </w:r>
          </w:p>
        </w:tc>
        <w:tc>
          <w:tcPr>
            <w:tcW w:w="129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color w:val="000000"/>
                <w:kern w:val="2"/>
                <w:sz w:val="16"/>
                <w:szCs w:val="16"/>
              </w:rPr>
            </w:pPr>
            <w:r>
              <w:rPr>
                <w:rFonts w:cs="宋体"/>
                <w:b/>
                <w:color w:val="000000"/>
                <w:kern w:val="2"/>
                <w:sz w:val="16"/>
                <w:szCs w:val="16"/>
              </w:rPr>
              <w:t>五、机关运行经费</w:t>
            </w:r>
          </w:p>
        </w:tc>
        <w:tc>
          <w:tcPr>
            <w:tcW w:w="87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170" w:type="dxa"/>
            <w:bottom w:w="0" w:type="dxa"/>
            <w:right w:w="170" w:type="dxa"/>
          </w:tblCellMar>
        </w:tblPrEx>
        <w:trPr>
          <w:trHeight w:val="292" w:hRule="atLeast"/>
        </w:trPr>
        <w:tc>
          <w:tcPr>
            <w:tcW w:w="112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（一）支出合计</w:t>
            </w:r>
          </w:p>
        </w:tc>
        <w:tc>
          <w:tcPr>
            <w:tcW w:w="85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kern w:val="2"/>
                <w:sz w:val="18"/>
                <w:szCs w:val="18"/>
              </w:rPr>
            </w:pPr>
            <w:r>
              <w:rPr>
                <w:rFonts w:hint="default" w:ascii="Times New Roman" w:hAnsi="Times New Roman"/>
                <w:color w:val="000000"/>
                <w:kern w:val="2"/>
                <w:sz w:val="18"/>
                <w:szCs w:val="18"/>
              </w:rPr>
              <w:t>0.55</w:t>
            </w:r>
            <w:r>
              <w:rPr>
                <w:rFonts w:ascii="Times New Roman" w:hAnsi="Times New Roman"/>
                <w:color w:val="000000"/>
                <w:sz w:val="18"/>
                <w:u w:color="auto"/>
              </w:rPr>
              <w:t xml:space="preserve"> </w:t>
            </w:r>
          </w:p>
        </w:tc>
        <w:tc>
          <w:tcPr>
            <w:tcW w:w="840"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kern w:val="2"/>
                <w:sz w:val="18"/>
                <w:szCs w:val="18"/>
              </w:rPr>
            </w:pPr>
            <w:r>
              <w:rPr>
                <w:rFonts w:hint="default" w:ascii="Times New Roman" w:hAnsi="Times New Roman"/>
                <w:color w:val="000000"/>
                <w:kern w:val="2"/>
                <w:sz w:val="18"/>
                <w:szCs w:val="18"/>
              </w:rPr>
              <w:t>0.55</w:t>
            </w:r>
            <w:r>
              <w:rPr>
                <w:rFonts w:ascii="Times New Roman" w:hAnsi="Times New Roman"/>
                <w:color w:val="000000"/>
                <w:sz w:val="18"/>
                <w:u w:color="auto"/>
              </w:rPr>
              <w:t xml:space="preserve"> </w:t>
            </w:r>
          </w:p>
        </w:tc>
        <w:tc>
          <w:tcPr>
            <w:tcW w:w="129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（一）行政单位</w:t>
            </w:r>
          </w:p>
        </w:tc>
        <w:tc>
          <w:tcPr>
            <w:tcW w:w="87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170" w:type="dxa"/>
            <w:bottom w:w="0" w:type="dxa"/>
            <w:right w:w="170" w:type="dxa"/>
          </w:tblCellMar>
        </w:tblPrEx>
        <w:trPr>
          <w:trHeight w:val="292" w:hRule="atLeast"/>
        </w:trPr>
        <w:tc>
          <w:tcPr>
            <w:tcW w:w="112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1．因公出国（境）费</w:t>
            </w:r>
          </w:p>
        </w:tc>
        <w:tc>
          <w:tcPr>
            <w:tcW w:w="85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kern w:val="2"/>
                <w:sz w:val="18"/>
                <w:szCs w:val="18"/>
              </w:rPr>
            </w:pPr>
            <w:r>
              <w:rPr>
                <w:rFonts w:ascii="Times New Roman" w:hAnsi="Times New Roman"/>
                <w:color w:val="000000"/>
                <w:sz w:val="18"/>
                <w:u w:color="auto"/>
              </w:rPr>
              <w:t xml:space="preserve"> </w:t>
            </w:r>
          </w:p>
        </w:tc>
        <w:tc>
          <w:tcPr>
            <w:tcW w:w="840"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kern w:val="2"/>
                <w:sz w:val="18"/>
                <w:szCs w:val="18"/>
              </w:rPr>
            </w:pPr>
            <w:r>
              <w:rPr>
                <w:rFonts w:ascii="Times New Roman" w:hAnsi="Times New Roman"/>
                <w:color w:val="000000"/>
                <w:sz w:val="18"/>
                <w:u w:color="auto"/>
              </w:rPr>
              <w:t xml:space="preserve"> </w:t>
            </w:r>
          </w:p>
        </w:tc>
        <w:tc>
          <w:tcPr>
            <w:tcW w:w="129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（二）参照公务员法管理事业单位</w:t>
            </w:r>
          </w:p>
        </w:tc>
        <w:tc>
          <w:tcPr>
            <w:tcW w:w="87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170" w:type="dxa"/>
            <w:bottom w:w="0" w:type="dxa"/>
            <w:right w:w="170" w:type="dxa"/>
          </w:tblCellMar>
        </w:tblPrEx>
        <w:trPr>
          <w:trHeight w:val="292" w:hRule="atLeast"/>
        </w:trPr>
        <w:tc>
          <w:tcPr>
            <w:tcW w:w="112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2．公务用车购置及运行维护费</w:t>
            </w:r>
          </w:p>
        </w:tc>
        <w:tc>
          <w:tcPr>
            <w:tcW w:w="85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kern w:val="2"/>
                <w:sz w:val="18"/>
                <w:szCs w:val="18"/>
              </w:rPr>
            </w:pPr>
            <w:r>
              <w:rPr>
                <w:rFonts w:ascii="Times New Roman" w:hAnsi="Times New Roman"/>
                <w:color w:val="000000"/>
                <w:sz w:val="18"/>
                <w:u w:color="auto"/>
              </w:rPr>
              <w:t xml:space="preserve"> </w:t>
            </w:r>
          </w:p>
        </w:tc>
        <w:tc>
          <w:tcPr>
            <w:tcW w:w="840"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kern w:val="2"/>
                <w:sz w:val="18"/>
                <w:szCs w:val="18"/>
              </w:rPr>
            </w:pPr>
            <w:r>
              <w:rPr>
                <w:rFonts w:ascii="Times New Roman" w:hAnsi="Times New Roman"/>
                <w:color w:val="000000"/>
                <w:sz w:val="18"/>
                <w:u w:color="auto"/>
              </w:rPr>
              <w:t xml:space="preserve"> </w:t>
            </w:r>
          </w:p>
        </w:tc>
        <w:tc>
          <w:tcPr>
            <w:tcW w:w="129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六、资产信息</w:t>
            </w:r>
          </w:p>
        </w:tc>
        <w:tc>
          <w:tcPr>
            <w:tcW w:w="87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right="120" w:rightChars="50"/>
              <w:jc w:val="center"/>
              <w:textAlignment w:val="center"/>
              <w:rPr>
                <w:rFonts w:hint="default" w:ascii="Times New Roman" w:hAnsi="Times New Roman"/>
                <w:color w:val="000000"/>
                <w:sz w:val="18"/>
                <w:szCs w:val="18"/>
              </w:rPr>
            </w:pPr>
            <w:r>
              <w:rPr>
                <w:rFonts w:hint="default" w:ascii="Times New Roman" w:hAnsi="Times New Roman"/>
                <w:color w:val="000000"/>
                <w:sz w:val="18"/>
                <w:szCs w:val="18"/>
              </w:rPr>
              <w:t>—</w:t>
            </w:r>
          </w:p>
        </w:tc>
      </w:tr>
      <w:tr>
        <w:tblPrEx>
          <w:tblCellMar>
            <w:top w:w="0" w:type="dxa"/>
            <w:left w:w="170" w:type="dxa"/>
            <w:bottom w:w="0" w:type="dxa"/>
            <w:right w:w="170" w:type="dxa"/>
          </w:tblCellMar>
        </w:tblPrEx>
        <w:trPr>
          <w:trHeight w:val="292" w:hRule="atLeast"/>
        </w:trPr>
        <w:tc>
          <w:tcPr>
            <w:tcW w:w="112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（1）公务用车购置费</w:t>
            </w:r>
          </w:p>
        </w:tc>
        <w:tc>
          <w:tcPr>
            <w:tcW w:w="85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kern w:val="2"/>
                <w:sz w:val="18"/>
                <w:szCs w:val="18"/>
              </w:rPr>
            </w:pPr>
            <w:r>
              <w:rPr>
                <w:rFonts w:ascii="Times New Roman" w:hAnsi="Times New Roman"/>
                <w:color w:val="000000"/>
                <w:sz w:val="18"/>
                <w:u w:color="auto"/>
              </w:rPr>
              <w:t xml:space="preserve"> </w:t>
            </w:r>
          </w:p>
        </w:tc>
        <w:tc>
          <w:tcPr>
            <w:tcW w:w="840"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kern w:val="2"/>
                <w:sz w:val="18"/>
                <w:szCs w:val="18"/>
              </w:rPr>
            </w:pPr>
            <w:r>
              <w:rPr>
                <w:rFonts w:ascii="Times New Roman" w:hAnsi="Times New Roman"/>
                <w:color w:val="000000"/>
                <w:sz w:val="18"/>
                <w:u w:color="auto"/>
              </w:rPr>
              <w:t xml:space="preserve"> </w:t>
            </w:r>
          </w:p>
        </w:tc>
        <w:tc>
          <w:tcPr>
            <w:tcW w:w="129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（一）车辆数合计（辆）</w:t>
            </w:r>
          </w:p>
        </w:tc>
        <w:tc>
          <w:tcPr>
            <w:tcW w:w="87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170" w:type="dxa"/>
            <w:bottom w:w="0" w:type="dxa"/>
            <w:right w:w="170" w:type="dxa"/>
          </w:tblCellMar>
        </w:tblPrEx>
        <w:trPr>
          <w:trHeight w:val="292" w:hRule="atLeast"/>
        </w:trPr>
        <w:tc>
          <w:tcPr>
            <w:tcW w:w="112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（2）公务用车运行维护费</w:t>
            </w:r>
          </w:p>
        </w:tc>
        <w:tc>
          <w:tcPr>
            <w:tcW w:w="85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kern w:val="2"/>
                <w:sz w:val="18"/>
                <w:szCs w:val="18"/>
              </w:rPr>
            </w:pPr>
            <w:r>
              <w:rPr>
                <w:rFonts w:ascii="Times New Roman" w:hAnsi="Times New Roman"/>
                <w:color w:val="000000"/>
                <w:sz w:val="18"/>
                <w:u w:color="auto"/>
              </w:rPr>
              <w:t xml:space="preserve"> </w:t>
            </w:r>
          </w:p>
        </w:tc>
        <w:tc>
          <w:tcPr>
            <w:tcW w:w="840"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kern w:val="2"/>
                <w:sz w:val="18"/>
                <w:szCs w:val="18"/>
              </w:rPr>
            </w:pPr>
            <w:r>
              <w:rPr>
                <w:rFonts w:ascii="Times New Roman" w:hAnsi="Times New Roman"/>
                <w:color w:val="000000"/>
                <w:sz w:val="18"/>
                <w:u w:color="auto"/>
              </w:rPr>
              <w:t xml:space="preserve"> </w:t>
            </w:r>
          </w:p>
        </w:tc>
        <w:tc>
          <w:tcPr>
            <w:tcW w:w="129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1．副部（省）级及以上领导用车</w:t>
            </w:r>
          </w:p>
        </w:tc>
        <w:tc>
          <w:tcPr>
            <w:tcW w:w="87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170" w:type="dxa"/>
            <w:bottom w:w="0" w:type="dxa"/>
            <w:right w:w="170" w:type="dxa"/>
          </w:tblCellMar>
        </w:tblPrEx>
        <w:trPr>
          <w:trHeight w:val="292" w:hRule="atLeast"/>
        </w:trPr>
        <w:tc>
          <w:tcPr>
            <w:tcW w:w="112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3．公务接待费</w:t>
            </w:r>
          </w:p>
        </w:tc>
        <w:tc>
          <w:tcPr>
            <w:tcW w:w="85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kern w:val="2"/>
                <w:sz w:val="18"/>
                <w:szCs w:val="18"/>
              </w:rPr>
            </w:pPr>
            <w:r>
              <w:rPr>
                <w:rFonts w:hint="default" w:ascii="Times New Roman" w:hAnsi="Times New Roman"/>
                <w:color w:val="000000"/>
                <w:kern w:val="2"/>
                <w:sz w:val="18"/>
                <w:szCs w:val="18"/>
              </w:rPr>
              <w:t>0.55</w:t>
            </w:r>
            <w:r>
              <w:rPr>
                <w:rFonts w:ascii="Times New Roman" w:hAnsi="Times New Roman"/>
                <w:color w:val="000000"/>
                <w:sz w:val="18"/>
                <w:u w:color="auto"/>
              </w:rPr>
              <w:t xml:space="preserve"> </w:t>
            </w:r>
          </w:p>
        </w:tc>
        <w:tc>
          <w:tcPr>
            <w:tcW w:w="840"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kern w:val="2"/>
                <w:sz w:val="18"/>
                <w:szCs w:val="18"/>
              </w:rPr>
            </w:pPr>
            <w:r>
              <w:rPr>
                <w:rFonts w:hint="default" w:ascii="Times New Roman" w:hAnsi="Times New Roman"/>
                <w:color w:val="000000"/>
                <w:kern w:val="2"/>
                <w:sz w:val="18"/>
                <w:szCs w:val="18"/>
              </w:rPr>
              <w:t>0.55</w:t>
            </w:r>
            <w:r>
              <w:rPr>
                <w:rFonts w:ascii="Times New Roman" w:hAnsi="Times New Roman"/>
                <w:color w:val="000000"/>
                <w:sz w:val="18"/>
                <w:u w:color="auto"/>
              </w:rPr>
              <w:t xml:space="preserve"> </w:t>
            </w:r>
          </w:p>
        </w:tc>
        <w:tc>
          <w:tcPr>
            <w:tcW w:w="129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2．主要领导干部用车</w:t>
            </w:r>
          </w:p>
        </w:tc>
        <w:tc>
          <w:tcPr>
            <w:tcW w:w="87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170" w:type="dxa"/>
            <w:bottom w:w="0" w:type="dxa"/>
            <w:right w:w="170" w:type="dxa"/>
          </w:tblCellMar>
        </w:tblPrEx>
        <w:trPr>
          <w:trHeight w:val="292" w:hRule="atLeast"/>
        </w:trPr>
        <w:tc>
          <w:tcPr>
            <w:tcW w:w="112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（1）国内接待费</w:t>
            </w:r>
          </w:p>
        </w:tc>
        <w:tc>
          <w:tcPr>
            <w:tcW w:w="85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color w:val="000000"/>
                <w:kern w:val="2"/>
                <w:sz w:val="18"/>
                <w:szCs w:val="18"/>
              </w:rPr>
            </w:pPr>
            <w:r>
              <w:rPr>
                <w:rFonts w:hint="default" w:ascii="Times New Roman" w:hAnsi="Times New Roman"/>
                <w:color w:val="000000"/>
                <w:kern w:val="2"/>
                <w:sz w:val="18"/>
                <w:szCs w:val="18"/>
              </w:rPr>
              <w:t>—</w:t>
            </w:r>
          </w:p>
        </w:tc>
        <w:tc>
          <w:tcPr>
            <w:tcW w:w="840"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kern w:val="2"/>
                <w:sz w:val="18"/>
                <w:szCs w:val="18"/>
              </w:rPr>
            </w:pPr>
            <w:r>
              <w:rPr>
                <w:rFonts w:hint="default" w:ascii="Times New Roman" w:hAnsi="Times New Roman"/>
                <w:color w:val="000000"/>
                <w:kern w:val="2"/>
                <w:sz w:val="18"/>
                <w:szCs w:val="18"/>
              </w:rPr>
              <w:t>0.55</w:t>
            </w:r>
            <w:r>
              <w:rPr>
                <w:rFonts w:ascii="Times New Roman" w:hAnsi="Times New Roman"/>
                <w:color w:val="000000"/>
                <w:sz w:val="18"/>
                <w:u w:color="auto"/>
              </w:rPr>
              <w:t xml:space="preserve"> </w:t>
            </w:r>
          </w:p>
        </w:tc>
        <w:tc>
          <w:tcPr>
            <w:tcW w:w="129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3．机要通信用车</w:t>
            </w:r>
          </w:p>
        </w:tc>
        <w:tc>
          <w:tcPr>
            <w:tcW w:w="87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170" w:type="dxa"/>
            <w:bottom w:w="0" w:type="dxa"/>
            <w:right w:w="170" w:type="dxa"/>
          </w:tblCellMar>
        </w:tblPrEx>
        <w:trPr>
          <w:trHeight w:val="292" w:hRule="atLeast"/>
        </w:trPr>
        <w:tc>
          <w:tcPr>
            <w:tcW w:w="112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其中：外事接待费</w:t>
            </w:r>
          </w:p>
        </w:tc>
        <w:tc>
          <w:tcPr>
            <w:tcW w:w="85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color w:val="000000"/>
                <w:kern w:val="2"/>
                <w:sz w:val="18"/>
                <w:szCs w:val="18"/>
              </w:rPr>
            </w:pPr>
            <w:r>
              <w:rPr>
                <w:rFonts w:hint="default" w:ascii="Times New Roman" w:hAnsi="Times New Roman"/>
                <w:color w:val="000000"/>
                <w:kern w:val="2"/>
                <w:sz w:val="18"/>
                <w:szCs w:val="18"/>
              </w:rPr>
              <w:t>—</w:t>
            </w:r>
          </w:p>
        </w:tc>
        <w:tc>
          <w:tcPr>
            <w:tcW w:w="840"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kern w:val="2"/>
                <w:sz w:val="18"/>
                <w:szCs w:val="18"/>
              </w:rPr>
            </w:pPr>
            <w:r>
              <w:rPr>
                <w:rFonts w:ascii="Times New Roman" w:hAnsi="Times New Roman"/>
                <w:color w:val="000000"/>
                <w:sz w:val="18"/>
                <w:u w:color="auto"/>
              </w:rPr>
              <w:t xml:space="preserve"> </w:t>
            </w:r>
          </w:p>
        </w:tc>
        <w:tc>
          <w:tcPr>
            <w:tcW w:w="129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4．应急保障用车</w:t>
            </w:r>
          </w:p>
        </w:tc>
        <w:tc>
          <w:tcPr>
            <w:tcW w:w="87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170" w:type="dxa"/>
            <w:bottom w:w="0" w:type="dxa"/>
            <w:right w:w="170" w:type="dxa"/>
          </w:tblCellMar>
        </w:tblPrEx>
        <w:trPr>
          <w:trHeight w:val="292" w:hRule="atLeast"/>
        </w:trPr>
        <w:tc>
          <w:tcPr>
            <w:tcW w:w="112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（2）国（境）外接待费</w:t>
            </w:r>
          </w:p>
        </w:tc>
        <w:tc>
          <w:tcPr>
            <w:tcW w:w="85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color w:val="000000"/>
                <w:kern w:val="2"/>
                <w:sz w:val="18"/>
                <w:szCs w:val="18"/>
              </w:rPr>
            </w:pPr>
            <w:r>
              <w:rPr>
                <w:rFonts w:hint="default" w:ascii="Times New Roman" w:hAnsi="Times New Roman"/>
                <w:color w:val="000000"/>
                <w:kern w:val="2"/>
                <w:sz w:val="18"/>
                <w:szCs w:val="18"/>
              </w:rPr>
              <w:t>—</w:t>
            </w:r>
          </w:p>
        </w:tc>
        <w:tc>
          <w:tcPr>
            <w:tcW w:w="840"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kern w:val="2"/>
                <w:sz w:val="18"/>
                <w:szCs w:val="18"/>
              </w:rPr>
            </w:pPr>
            <w:r>
              <w:rPr>
                <w:rFonts w:ascii="Times New Roman" w:hAnsi="Times New Roman"/>
                <w:color w:val="000000"/>
                <w:sz w:val="18"/>
                <w:u w:color="auto"/>
              </w:rPr>
              <w:t xml:space="preserve"> </w:t>
            </w:r>
          </w:p>
        </w:tc>
        <w:tc>
          <w:tcPr>
            <w:tcW w:w="129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5．执法执勤用车</w:t>
            </w:r>
          </w:p>
        </w:tc>
        <w:tc>
          <w:tcPr>
            <w:tcW w:w="87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170" w:type="dxa"/>
            <w:bottom w:w="0" w:type="dxa"/>
            <w:right w:w="170" w:type="dxa"/>
          </w:tblCellMar>
        </w:tblPrEx>
        <w:trPr>
          <w:trHeight w:val="292" w:hRule="atLeast"/>
        </w:trPr>
        <w:tc>
          <w:tcPr>
            <w:tcW w:w="112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（二）相关统计数</w:t>
            </w:r>
          </w:p>
        </w:tc>
        <w:tc>
          <w:tcPr>
            <w:tcW w:w="85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color w:val="000000"/>
                <w:kern w:val="2"/>
                <w:sz w:val="18"/>
                <w:szCs w:val="18"/>
              </w:rPr>
            </w:pPr>
            <w:r>
              <w:rPr>
                <w:rFonts w:hint="default" w:ascii="Times New Roman" w:hAnsi="Times New Roman"/>
                <w:color w:val="000000"/>
                <w:kern w:val="2"/>
                <w:sz w:val="18"/>
                <w:szCs w:val="18"/>
              </w:rPr>
              <w:t>—</w:t>
            </w:r>
          </w:p>
        </w:tc>
        <w:tc>
          <w:tcPr>
            <w:tcW w:w="840"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right="120" w:rightChars="50"/>
              <w:jc w:val="center"/>
              <w:textAlignment w:val="center"/>
              <w:rPr>
                <w:rFonts w:hint="default" w:ascii="Times New Roman" w:hAnsi="Times New Roman"/>
                <w:color w:val="000000"/>
                <w:kern w:val="2"/>
                <w:sz w:val="18"/>
                <w:szCs w:val="18"/>
              </w:rPr>
            </w:pPr>
            <w:r>
              <w:rPr>
                <w:rFonts w:hint="default" w:ascii="Times New Roman" w:hAnsi="Times New Roman"/>
                <w:color w:val="000000"/>
                <w:kern w:val="2"/>
                <w:sz w:val="18"/>
                <w:szCs w:val="18"/>
              </w:rPr>
              <w:t>—</w:t>
            </w:r>
          </w:p>
        </w:tc>
        <w:tc>
          <w:tcPr>
            <w:tcW w:w="129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6．特种专业技术用车</w:t>
            </w:r>
          </w:p>
        </w:tc>
        <w:tc>
          <w:tcPr>
            <w:tcW w:w="87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170" w:type="dxa"/>
            <w:bottom w:w="0" w:type="dxa"/>
            <w:right w:w="170" w:type="dxa"/>
          </w:tblCellMar>
        </w:tblPrEx>
        <w:trPr>
          <w:trHeight w:val="292" w:hRule="atLeast"/>
        </w:trPr>
        <w:tc>
          <w:tcPr>
            <w:tcW w:w="112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1．因公出国（境）团组数（个）</w:t>
            </w:r>
          </w:p>
        </w:tc>
        <w:tc>
          <w:tcPr>
            <w:tcW w:w="85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color w:val="000000"/>
                <w:kern w:val="2"/>
                <w:sz w:val="18"/>
                <w:szCs w:val="18"/>
              </w:rPr>
            </w:pPr>
            <w:r>
              <w:rPr>
                <w:rFonts w:hint="default" w:ascii="Times New Roman" w:hAnsi="Times New Roman"/>
                <w:color w:val="000000"/>
                <w:kern w:val="2"/>
                <w:sz w:val="18"/>
                <w:szCs w:val="18"/>
              </w:rPr>
              <w:t>—</w:t>
            </w:r>
          </w:p>
        </w:tc>
        <w:tc>
          <w:tcPr>
            <w:tcW w:w="840"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kern w:val="2"/>
                <w:sz w:val="18"/>
                <w:szCs w:val="18"/>
              </w:rPr>
            </w:pPr>
            <w:r>
              <w:rPr>
                <w:rFonts w:ascii="Times New Roman" w:hAnsi="Times New Roman"/>
                <w:color w:val="000000"/>
                <w:sz w:val="18"/>
                <w:u w:color="auto"/>
              </w:rPr>
              <w:t xml:space="preserve"> </w:t>
            </w:r>
          </w:p>
        </w:tc>
        <w:tc>
          <w:tcPr>
            <w:tcW w:w="129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7．离退休干部用车</w:t>
            </w:r>
          </w:p>
        </w:tc>
        <w:tc>
          <w:tcPr>
            <w:tcW w:w="87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170" w:type="dxa"/>
            <w:bottom w:w="0" w:type="dxa"/>
            <w:right w:w="170" w:type="dxa"/>
          </w:tblCellMar>
        </w:tblPrEx>
        <w:trPr>
          <w:trHeight w:val="292" w:hRule="atLeast"/>
        </w:trPr>
        <w:tc>
          <w:tcPr>
            <w:tcW w:w="112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2．因公出国（境）人次数（人）</w:t>
            </w:r>
          </w:p>
        </w:tc>
        <w:tc>
          <w:tcPr>
            <w:tcW w:w="85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color w:val="000000"/>
                <w:kern w:val="2"/>
                <w:sz w:val="18"/>
                <w:szCs w:val="18"/>
              </w:rPr>
            </w:pPr>
            <w:r>
              <w:rPr>
                <w:rFonts w:hint="default" w:ascii="Times New Roman" w:hAnsi="Times New Roman"/>
                <w:color w:val="000000"/>
                <w:kern w:val="2"/>
                <w:sz w:val="18"/>
                <w:szCs w:val="18"/>
              </w:rPr>
              <w:t>—</w:t>
            </w:r>
          </w:p>
        </w:tc>
        <w:tc>
          <w:tcPr>
            <w:tcW w:w="840"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kern w:val="2"/>
                <w:sz w:val="18"/>
                <w:szCs w:val="18"/>
              </w:rPr>
            </w:pPr>
            <w:r>
              <w:rPr>
                <w:rFonts w:ascii="Times New Roman" w:hAnsi="Times New Roman"/>
                <w:color w:val="000000"/>
                <w:sz w:val="18"/>
                <w:u w:color="auto"/>
              </w:rPr>
              <w:t xml:space="preserve"> </w:t>
            </w:r>
          </w:p>
        </w:tc>
        <w:tc>
          <w:tcPr>
            <w:tcW w:w="129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8．其他用车</w:t>
            </w:r>
          </w:p>
        </w:tc>
        <w:tc>
          <w:tcPr>
            <w:tcW w:w="87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170" w:type="dxa"/>
            <w:bottom w:w="0" w:type="dxa"/>
            <w:right w:w="170" w:type="dxa"/>
          </w:tblCellMar>
        </w:tblPrEx>
        <w:trPr>
          <w:trHeight w:val="292" w:hRule="atLeast"/>
        </w:trPr>
        <w:tc>
          <w:tcPr>
            <w:tcW w:w="112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3．公务用车购置数（辆）</w:t>
            </w:r>
          </w:p>
        </w:tc>
        <w:tc>
          <w:tcPr>
            <w:tcW w:w="85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color w:val="000000"/>
                <w:kern w:val="2"/>
                <w:sz w:val="18"/>
                <w:szCs w:val="18"/>
              </w:rPr>
            </w:pPr>
            <w:r>
              <w:rPr>
                <w:rFonts w:hint="default" w:ascii="Times New Roman" w:hAnsi="Times New Roman"/>
                <w:color w:val="000000"/>
                <w:kern w:val="2"/>
                <w:sz w:val="18"/>
                <w:szCs w:val="18"/>
              </w:rPr>
              <w:t>—</w:t>
            </w:r>
          </w:p>
        </w:tc>
        <w:tc>
          <w:tcPr>
            <w:tcW w:w="840"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kern w:val="2"/>
                <w:sz w:val="18"/>
                <w:szCs w:val="18"/>
              </w:rPr>
            </w:pPr>
            <w:r>
              <w:rPr>
                <w:rFonts w:ascii="Times New Roman" w:hAnsi="Times New Roman"/>
                <w:color w:val="000000"/>
                <w:sz w:val="18"/>
                <w:u w:color="auto"/>
              </w:rPr>
              <w:t xml:space="preserve"> </w:t>
            </w:r>
          </w:p>
        </w:tc>
        <w:tc>
          <w:tcPr>
            <w:tcW w:w="129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（二）单价100万元（含）以上设备（不含车辆）</w:t>
            </w:r>
          </w:p>
        </w:tc>
        <w:tc>
          <w:tcPr>
            <w:tcW w:w="87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170" w:type="dxa"/>
            <w:bottom w:w="0" w:type="dxa"/>
            <w:right w:w="170" w:type="dxa"/>
          </w:tblCellMar>
        </w:tblPrEx>
        <w:trPr>
          <w:trHeight w:val="292" w:hRule="atLeast"/>
        </w:trPr>
        <w:tc>
          <w:tcPr>
            <w:tcW w:w="112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4．公务用车保有量（辆）</w:t>
            </w:r>
          </w:p>
        </w:tc>
        <w:tc>
          <w:tcPr>
            <w:tcW w:w="85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color w:val="000000"/>
                <w:kern w:val="2"/>
                <w:sz w:val="18"/>
                <w:szCs w:val="18"/>
              </w:rPr>
            </w:pPr>
            <w:r>
              <w:rPr>
                <w:rFonts w:hint="default" w:ascii="Times New Roman" w:hAnsi="Times New Roman"/>
                <w:color w:val="000000"/>
                <w:kern w:val="2"/>
                <w:sz w:val="18"/>
                <w:szCs w:val="18"/>
              </w:rPr>
              <w:t>—</w:t>
            </w:r>
          </w:p>
        </w:tc>
        <w:tc>
          <w:tcPr>
            <w:tcW w:w="840"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kern w:val="2"/>
                <w:sz w:val="18"/>
                <w:szCs w:val="18"/>
              </w:rPr>
            </w:pPr>
            <w:r>
              <w:rPr>
                <w:rFonts w:ascii="Times New Roman" w:hAnsi="Times New Roman"/>
                <w:color w:val="000000"/>
                <w:sz w:val="18"/>
                <w:u w:color="auto"/>
              </w:rPr>
              <w:t xml:space="preserve"> </w:t>
            </w:r>
          </w:p>
        </w:tc>
        <w:tc>
          <w:tcPr>
            <w:tcW w:w="129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七、政府采购支出信息</w:t>
            </w:r>
          </w:p>
        </w:tc>
        <w:tc>
          <w:tcPr>
            <w:tcW w:w="87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right="120" w:rightChars="50"/>
              <w:jc w:val="center"/>
              <w:textAlignment w:val="center"/>
              <w:rPr>
                <w:rFonts w:hint="default" w:ascii="Times New Roman" w:hAnsi="Times New Roman"/>
                <w:color w:val="000000"/>
                <w:sz w:val="18"/>
                <w:szCs w:val="18"/>
              </w:rPr>
            </w:pPr>
            <w:r>
              <w:rPr>
                <w:rFonts w:hint="default" w:ascii="Times New Roman" w:hAnsi="Times New Roman"/>
                <w:color w:val="000000"/>
                <w:sz w:val="18"/>
                <w:szCs w:val="18"/>
              </w:rPr>
              <w:t>—</w:t>
            </w:r>
          </w:p>
        </w:tc>
      </w:tr>
      <w:tr>
        <w:tblPrEx>
          <w:tblCellMar>
            <w:top w:w="0" w:type="dxa"/>
            <w:left w:w="170" w:type="dxa"/>
            <w:bottom w:w="0" w:type="dxa"/>
            <w:right w:w="170" w:type="dxa"/>
          </w:tblCellMar>
        </w:tblPrEx>
        <w:trPr>
          <w:trHeight w:val="292" w:hRule="atLeast"/>
        </w:trPr>
        <w:tc>
          <w:tcPr>
            <w:tcW w:w="112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5．国内公务接待批次（个）</w:t>
            </w:r>
          </w:p>
        </w:tc>
        <w:tc>
          <w:tcPr>
            <w:tcW w:w="85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color w:val="000000"/>
                <w:kern w:val="2"/>
                <w:sz w:val="18"/>
                <w:szCs w:val="18"/>
              </w:rPr>
            </w:pPr>
            <w:r>
              <w:rPr>
                <w:rFonts w:hint="default" w:ascii="Times New Roman" w:hAnsi="Times New Roman"/>
                <w:color w:val="000000"/>
                <w:kern w:val="2"/>
                <w:sz w:val="18"/>
                <w:szCs w:val="18"/>
              </w:rPr>
              <w:t>—</w:t>
            </w:r>
          </w:p>
        </w:tc>
        <w:tc>
          <w:tcPr>
            <w:tcW w:w="840"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kern w:val="2"/>
                <w:sz w:val="18"/>
                <w:szCs w:val="18"/>
              </w:rPr>
            </w:pPr>
            <w:r>
              <w:rPr>
                <w:rFonts w:hint="default" w:ascii="Times New Roman" w:hAnsi="Times New Roman"/>
                <w:color w:val="000000"/>
                <w:kern w:val="2"/>
                <w:sz w:val="18"/>
                <w:szCs w:val="18"/>
              </w:rPr>
              <w:t>16</w:t>
            </w:r>
            <w:r>
              <w:rPr>
                <w:rFonts w:ascii="Times New Roman" w:hAnsi="Times New Roman"/>
                <w:color w:val="000000"/>
                <w:sz w:val="18"/>
                <w:u w:color="auto"/>
              </w:rPr>
              <w:t xml:space="preserve"> </w:t>
            </w:r>
          </w:p>
        </w:tc>
        <w:tc>
          <w:tcPr>
            <w:tcW w:w="129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（一）政府采购支出合计</w:t>
            </w:r>
          </w:p>
        </w:tc>
        <w:tc>
          <w:tcPr>
            <w:tcW w:w="87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170" w:type="dxa"/>
            <w:bottom w:w="0" w:type="dxa"/>
            <w:right w:w="170" w:type="dxa"/>
          </w:tblCellMar>
        </w:tblPrEx>
        <w:trPr>
          <w:trHeight w:val="292" w:hRule="atLeast"/>
        </w:trPr>
        <w:tc>
          <w:tcPr>
            <w:tcW w:w="112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其中：外事接待批次（个）</w:t>
            </w:r>
          </w:p>
        </w:tc>
        <w:tc>
          <w:tcPr>
            <w:tcW w:w="85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color w:val="000000"/>
                <w:kern w:val="2"/>
                <w:sz w:val="18"/>
                <w:szCs w:val="18"/>
              </w:rPr>
            </w:pPr>
            <w:r>
              <w:rPr>
                <w:rFonts w:hint="default" w:ascii="Times New Roman" w:hAnsi="Times New Roman"/>
                <w:color w:val="000000"/>
                <w:kern w:val="2"/>
                <w:sz w:val="18"/>
                <w:szCs w:val="18"/>
              </w:rPr>
              <w:t>—</w:t>
            </w:r>
          </w:p>
        </w:tc>
        <w:tc>
          <w:tcPr>
            <w:tcW w:w="840"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kern w:val="2"/>
                <w:sz w:val="18"/>
                <w:szCs w:val="18"/>
              </w:rPr>
            </w:pPr>
            <w:r>
              <w:rPr>
                <w:rFonts w:ascii="Times New Roman" w:hAnsi="Times New Roman"/>
                <w:color w:val="000000"/>
                <w:sz w:val="18"/>
                <w:u w:color="auto"/>
              </w:rPr>
              <w:t xml:space="preserve"> </w:t>
            </w:r>
          </w:p>
        </w:tc>
        <w:tc>
          <w:tcPr>
            <w:tcW w:w="129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1．政府采购货物支出</w:t>
            </w:r>
          </w:p>
        </w:tc>
        <w:tc>
          <w:tcPr>
            <w:tcW w:w="87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170" w:type="dxa"/>
            <w:bottom w:w="0" w:type="dxa"/>
            <w:right w:w="170" w:type="dxa"/>
          </w:tblCellMar>
        </w:tblPrEx>
        <w:trPr>
          <w:trHeight w:val="292" w:hRule="atLeast"/>
        </w:trPr>
        <w:tc>
          <w:tcPr>
            <w:tcW w:w="112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6．国内公务接待人次（人）</w:t>
            </w:r>
          </w:p>
        </w:tc>
        <w:tc>
          <w:tcPr>
            <w:tcW w:w="85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color w:val="000000"/>
                <w:kern w:val="2"/>
                <w:sz w:val="18"/>
                <w:szCs w:val="18"/>
              </w:rPr>
            </w:pPr>
            <w:r>
              <w:rPr>
                <w:rFonts w:hint="default" w:ascii="Times New Roman" w:hAnsi="Times New Roman"/>
                <w:color w:val="000000"/>
                <w:kern w:val="2"/>
                <w:sz w:val="18"/>
                <w:szCs w:val="18"/>
              </w:rPr>
              <w:t>—</w:t>
            </w:r>
          </w:p>
        </w:tc>
        <w:tc>
          <w:tcPr>
            <w:tcW w:w="840"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kern w:val="2"/>
                <w:sz w:val="18"/>
                <w:szCs w:val="18"/>
              </w:rPr>
            </w:pPr>
            <w:r>
              <w:rPr>
                <w:rFonts w:hint="default" w:ascii="Times New Roman" w:hAnsi="Times New Roman"/>
                <w:color w:val="000000"/>
                <w:kern w:val="2"/>
                <w:sz w:val="18"/>
                <w:szCs w:val="18"/>
              </w:rPr>
              <w:t>150</w:t>
            </w:r>
            <w:r>
              <w:rPr>
                <w:rFonts w:ascii="Times New Roman" w:hAnsi="Times New Roman"/>
                <w:color w:val="000000"/>
                <w:sz w:val="18"/>
                <w:u w:color="auto"/>
              </w:rPr>
              <w:t xml:space="preserve"> </w:t>
            </w:r>
          </w:p>
        </w:tc>
        <w:tc>
          <w:tcPr>
            <w:tcW w:w="129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2．政府采购工程支出</w:t>
            </w:r>
          </w:p>
        </w:tc>
        <w:tc>
          <w:tcPr>
            <w:tcW w:w="87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170" w:type="dxa"/>
            <w:bottom w:w="0" w:type="dxa"/>
            <w:right w:w="170" w:type="dxa"/>
          </w:tblCellMar>
        </w:tblPrEx>
        <w:trPr>
          <w:trHeight w:val="292" w:hRule="atLeast"/>
        </w:trPr>
        <w:tc>
          <w:tcPr>
            <w:tcW w:w="112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其中：外事接待人次（人）</w:t>
            </w:r>
          </w:p>
        </w:tc>
        <w:tc>
          <w:tcPr>
            <w:tcW w:w="85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color w:val="000000"/>
                <w:kern w:val="2"/>
                <w:sz w:val="18"/>
                <w:szCs w:val="18"/>
              </w:rPr>
            </w:pPr>
            <w:r>
              <w:rPr>
                <w:rFonts w:hint="default" w:ascii="Times New Roman" w:hAnsi="Times New Roman"/>
                <w:color w:val="000000"/>
                <w:kern w:val="2"/>
                <w:sz w:val="18"/>
                <w:szCs w:val="18"/>
              </w:rPr>
              <w:t>—</w:t>
            </w:r>
          </w:p>
        </w:tc>
        <w:tc>
          <w:tcPr>
            <w:tcW w:w="840"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kern w:val="2"/>
                <w:sz w:val="18"/>
                <w:szCs w:val="18"/>
              </w:rPr>
            </w:pPr>
            <w:r>
              <w:rPr>
                <w:rFonts w:ascii="Times New Roman" w:hAnsi="Times New Roman"/>
                <w:color w:val="000000"/>
                <w:sz w:val="18"/>
                <w:u w:color="auto"/>
              </w:rPr>
              <w:t xml:space="preserve"> </w:t>
            </w:r>
          </w:p>
        </w:tc>
        <w:tc>
          <w:tcPr>
            <w:tcW w:w="129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3．政府采购服务支出</w:t>
            </w:r>
          </w:p>
        </w:tc>
        <w:tc>
          <w:tcPr>
            <w:tcW w:w="87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170" w:type="dxa"/>
            <w:bottom w:w="0" w:type="dxa"/>
            <w:right w:w="170" w:type="dxa"/>
          </w:tblCellMar>
        </w:tblPrEx>
        <w:trPr>
          <w:trHeight w:val="292" w:hRule="atLeast"/>
        </w:trPr>
        <w:tc>
          <w:tcPr>
            <w:tcW w:w="112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7．国（境）外公务接待批次（个）</w:t>
            </w:r>
          </w:p>
        </w:tc>
        <w:tc>
          <w:tcPr>
            <w:tcW w:w="85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color w:val="000000"/>
                <w:kern w:val="2"/>
                <w:sz w:val="18"/>
                <w:szCs w:val="18"/>
              </w:rPr>
            </w:pPr>
            <w:r>
              <w:rPr>
                <w:rFonts w:hint="default" w:ascii="Times New Roman" w:hAnsi="Times New Roman"/>
                <w:color w:val="000000"/>
                <w:kern w:val="2"/>
                <w:sz w:val="18"/>
                <w:szCs w:val="18"/>
              </w:rPr>
              <w:t>—</w:t>
            </w:r>
          </w:p>
        </w:tc>
        <w:tc>
          <w:tcPr>
            <w:tcW w:w="840"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kern w:val="2"/>
                <w:sz w:val="18"/>
                <w:szCs w:val="18"/>
              </w:rPr>
            </w:pPr>
            <w:r>
              <w:rPr>
                <w:rFonts w:ascii="Times New Roman" w:hAnsi="Times New Roman"/>
                <w:color w:val="000000"/>
                <w:sz w:val="18"/>
                <w:u w:color="auto"/>
              </w:rPr>
              <w:t xml:space="preserve"> </w:t>
            </w:r>
          </w:p>
        </w:tc>
        <w:tc>
          <w:tcPr>
            <w:tcW w:w="129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（二）政府采购授予中小企业合同金额</w:t>
            </w:r>
          </w:p>
        </w:tc>
        <w:tc>
          <w:tcPr>
            <w:tcW w:w="87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170" w:type="dxa"/>
            <w:bottom w:w="0" w:type="dxa"/>
            <w:right w:w="170" w:type="dxa"/>
          </w:tblCellMar>
        </w:tblPrEx>
        <w:trPr>
          <w:trHeight w:val="292" w:hRule="atLeast"/>
        </w:trPr>
        <w:tc>
          <w:tcPr>
            <w:tcW w:w="112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8．国（境）外公务接待人次（人）</w:t>
            </w:r>
          </w:p>
        </w:tc>
        <w:tc>
          <w:tcPr>
            <w:tcW w:w="85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color w:val="000000"/>
                <w:kern w:val="2"/>
                <w:sz w:val="18"/>
                <w:szCs w:val="18"/>
              </w:rPr>
            </w:pPr>
            <w:r>
              <w:rPr>
                <w:rFonts w:hint="default" w:ascii="Times New Roman" w:hAnsi="Times New Roman"/>
                <w:color w:val="000000"/>
                <w:kern w:val="2"/>
                <w:sz w:val="18"/>
                <w:szCs w:val="18"/>
              </w:rPr>
              <w:t>—</w:t>
            </w:r>
          </w:p>
        </w:tc>
        <w:tc>
          <w:tcPr>
            <w:tcW w:w="840"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kern w:val="2"/>
                <w:sz w:val="18"/>
                <w:szCs w:val="18"/>
              </w:rPr>
            </w:pPr>
            <w:r>
              <w:rPr>
                <w:rFonts w:ascii="Times New Roman" w:hAnsi="Times New Roman"/>
                <w:color w:val="000000"/>
                <w:sz w:val="18"/>
                <w:u w:color="auto"/>
              </w:rPr>
              <w:t xml:space="preserve"> </w:t>
            </w:r>
          </w:p>
        </w:tc>
        <w:tc>
          <w:tcPr>
            <w:tcW w:w="129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kern w:val="2"/>
                <w:sz w:val="16"/>
                <w:szCs w:val="16"/>
              </w:rPr>
            </w:pPr>
            <w:r>
              <w:rPr>
                <w:rFonts w:cs="宋体"/>
                <w:b/>
                <w:bCs/>
                <w:color w:val="000000"/>
                <w:kern w:val="2"/>
                <w:sz w:val="16"/>
                <w:szCs w:val="16"/>
              </w:rPr>
              <w:t xml:space="preserve">        其中：授予小微企业合同金额</w:t>
            </w:r>
          </w:p>
        </w:tc>
        <w:tc>
          <w:tcPr>
            <w:tcW w:w="87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sz w:val="18"/>
                <w:szCs w:val="18"/>
              </w:rPr>
            </w:pPr>
            <w:r>
              <w:rPr>
                <w:rFonts w:ascii="Times New Roman" w:hAnsi="Times New Roman"/>
                <w:color w:val="000000"/>
                <w:sz w:val="18"/>
                <w:u w:color="auto"/>
              </w:rPr>
              <w:t xml:space="preserve"> </w:t>
            </w:r>
          </w:p>
        </w:tc>
      </w:tr>
      <w:tr>
        <w:tblPrEx>
          <w:tblCellMar>
            <w:top w:w="0" w:type="dxa"/>
            <w:left w:w="170" w:type="dxa"/>
            <w:bottom w:w="0" w:type="dxa"/>
            <w:right w:w="170" w:type="dxa"/>
          </w:tblCellMar>
        </w:tblPrEx>
        <w:trPr>
          <w:trHeight w:val="286" w:hRule="atLeast"/>
        </w:trPr>
        <w:tc>
          <w:tcPr>
            <w:tcW w:w="112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color w:val="000000"/>
                <w:kern w:val="2"/>
                <w:sz w:val="16"/>
                <w:szCs w:val="16"/>
              </w:rPr>
            </w:pPr>
            <w:r>
              <w:rPr>
                <w:rFonts w:cs="宋体"/>
                <w:b/>
                <w:color w:val="000000"/>
                <w:kern w:val="2"/>
                <w:sz w:val="16"/>
                <w:szCs w:val="16"/>
              </w:rPr>
              <w:t>二、会议费</w:t>
            </w:r>
          </w:p>
        </w:tc>
        <w:tc>
          <w:tcPr>
            <w:tcW w:w="85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color w:val="000000"/>
                <w:kern w:val="2"/>
                <w:sz w:val="18"/>
                <w:szCs w:val="18"/>
              </w:rPr>
            </w:pPr>
            <w:r>
              <w:rPr>
                <w:rFonts w:hint="default" w:ascii="Times New Roman" w:hAnsi="Times New Roman"/>
                <w:color w:val="000000"/>
                <w:kern w:val="2"/>
                <w:sz w:val="18"/>
                <w:szCs w:val="18"/>
              </w:rPr>
              <w:t>—</w:t>
            </w:r>
          </w:p>
        </w:tc>
        <w:tc>
          <w:tcPr>
            <w:tcW w:w="840"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kern w:val="2"/>
                <w:sz w:val="18"/>
                <w:szCs w:val="18"/>
              </w:rPr>
            </w:pPr>
            <w:r>
              <w:rPr>
                <w:rFonts w:ascii="Times New Roman" w:hAnsi="Times New Roman"/>
                <w:color w:val="000000"/>
                <w:sz w:val="18"/>
                <w:u w:color="auto"/>
              </w:rPr>
              <w:t xml:space="preserve"> </w:t>
            </w:r>
          </w:p>
        </w:tc>
        <w:tc>
          <w:tcPr>
            <w:tcW w:w="129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rPr>
                <w:rFonts w:hint="default" w:cs="宋体"/>
                <w:color w:val="000000"/>
                <w:kern w:val="2"/>
                <w:sz w:val="16"/>
                <w:szCs w:val="16"/>
              </w:rPr>
            </w:pPr>
          </w:p>
        </w:tc>
        <w:tc>
          <w:tcPr>
            <w:tcW w:w="87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jc w:val="right"/>
              <w:rPr>
                <w:rFonts w:hint="default" w:cs="宋体"/>
                <w:color w:val="000000"/>
                <w:kern w:val="2"/>
                <w:sz w:val="16"/>
                <w:szCs w:val="16"/>
              </w:rPr>
            </w:pPr>
          </w:p>
        </w:tc>
      </w:tr>
      <w:tr>
        <w:tblPrEx>
          <w:tblCellMar>
            <w:top w:w="0" w:type="dxa"/>
            <w:left w:w="170" w:type="dxa"/>
            <w:bottom w:w="0" w:type="dxa"/>
            <w:right w:w="170" w:type="dxa"/>
          </w:tblCellMar>
        </w:tblPrEx>
        <w:trPr>
          <w:trHeight w:val="389" w:hRule="atLeast"/>
        </w:trPr>
        <w:tc>
          <w:tcPr>
            <w:tcW w:w="112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color w:val="000000"/>
                <w:kern w:val="2"/>
                <w:sz w:val="16"/>
                <w:szCs w:val="16"/>
              </w:rPr>
            </w:pPr>
            <w:r>
              <w:rPr>
                <w:rFonts w:cs="宋体"/>
                <w:b/>
                <w:color w:val="000000"/>
                <w:kern w:val="2"/>
                <w:sz w:val="16"/>
                <w:szCs w:val="16"/>
              </w:rPr>
              <w:t>三、培训费</w:t>
            </w:r>
          </w:p>
        </w:tc>
        <w:tc>
          <w:tcPr>
            <w:tcW w:w="85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color w:val="000000"/>
                <w:kern w:val="2"/>
                <w:sz w:val="18"/>
                <w:szCs w:val="18"/>
              </w:rPr>
            </w:pPr>
            <w:r>
              <w:rPr>
                <w:rFonts w:hint="default" w:ascii="Times New Roman" w:hAnsi="Times New Roman"/>
                <w:color w:val="000000"/>
                <w:kern w:val="2"/>
                <w:sz w:val="18"/>
                <w:szCs w:val="18"/>
              </w:rPr>
              <w:t>—</w:t>
            </w:r>
          </w:p>
        </w:tc>
        <w:tc>
          <w:tcPr>
            <w:tcW w:w="840"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kern w:val="2"/>
                <w:sz w:val="18"/>
                <w:szCs w:val="18"/>
              </w:rPr>
            </w:pPr>
            <w:r>
              <w:rPr>
                <w:rFonts w:hint="default" w:ascii="Times New Roman" w:hAnsi="Times New Roman"/>
                <w:color w:val="000000"/>
                <w:kern w:val="2"/>
                <w:sz w:val="18"/>
                <w:szCs w:val="18"/>
              </w:rPr>
              <w:t>0.85</w:t>
            </w:r>
            <w:r>
              <w:rPr>
                <w:rFonts w:ascii="Times New Roman" w:hAnsi="Times New Roman"/>
                <w:color w:val="000000"/>
                <w:sz w:val="18"/>
                <w:u w:color="auto"/>
              </w:rPr>
              <w:t xml:space="preserve"> </w:t>
            </w:r>
          </w:p>
        </w:tc>
        <w:tc>
          <w:tcPr>
            <w:tcW w:w="129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rPr>
                <w:rFonts w:hint="default" w:cs="宋体"/>
                <w:color w:val="000000"/>
                <w:kern w:val="2"/>
                <w:sz w:val="16"/>
                <w:szCs w:val="16"/>
              </w:rPr>
            </w:pPr>
          </w:p>
        </w:tc>
        <w:tc>
          <w:tcPr>
            <w:tcW w:w="87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jc w:val="right"/>
              <w:rPr>
                <w:rFonts w:hint="default" w:cs="宋体"/>
                <w:color w:val="000000"/>
                <w:kern w:val="2"/>
                <w:sz w:val="16"/>
                <w:szCs w:val="16"/>
              </w:rPr>
            </w:pPr>
          </w:p>
        </w:tc>
      </w:tr>
      <w:tr>
        <w:tblPrEx>
          <w:tblCellMar>
            <w:top w:w="0" w:type="dxa"/>
            <w:left w:w="170" w:type="dxa"/>
            <w:bottom w:w="0" w:type="dxa"/>
            <w:right w:w="170" w:type="dxa"/>
          </w:tblCellMar>
        </w:tblPrEx>
        <w:trPr>
          <w:trHeight w:val="389" w:hRule="atLeast"/>
        </w:trPr>
        <w:tc>
          <w:tcPr>
            <w:tcW w:w="112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cs="宋体"/>
                <w:b/>
                <w:bCs/>
                <w:color w:val="000000"/>
                <w:sz w:val="16"/>
                <w:szCs w:val="16"/>
              </w:rPr>
            </w:pPr>
            <w:r>
              <w:rPr>
                <w:rFonts w:cs="宋体"/>
                <w:b/>
                <w:bCs/>
                <w:color w:val="000000"/>
                <w:sz w:val="16"/>
                <w:szCs w:val="16"/>
              </w:rPr>
              <w:t>四、差旅费</w:t>
            </w:r>
          </w:p>
        </w:tc>
        <w:tc>
          <w:tcPr>
            <w:tcW w:w="85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color w:val="000000"/>
                <w:sz w:val="18"/>
                <w:szCs w:val="18"/>
              </w:rPr>
            </w:pPr>
            <w:r>
              <w:rPr>
                <w:rFonts w:hint="default" w:ascii="Times New Roman" w:hAnsi="Times New Roman"/>
                <w:color w:val="000000"/>
                <w:sz w:val="18"/>
                <w:szCs w:val="18"/>
              </w:rPr>
              <w:t>—</w:t>
            </w:r>
          </w:p>
        </w:tc>
        <w:tc>
          <w:tcPr>
            <w:tcW w:w="840"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ind w:right="120" w:rightChars="50"/>
              <w:jc w:val="right"/>
              <w:textAlignment w:val="bottom"/>
              <w:rPr>
                <w:rFonts w:hint="default" w:ascii="Times New Roman" w:hAnsi="Times New Roman"/>
                <w:color w:val="000000"/>
                <w:sz w:val="18"/>
                <w:szCs w:val="18"/>
              </w:rPr>
            </w:pPr>
            <w:r>
              <w:rPr>
                <w:rFonts w:ascii="Times New Roman" w:hAnsi="Times New Roman"/>
                <w:color w:val="000000"/>
                <w:sz w:val="18"/>
                <w:u w:color="auto"/>
              </w:rPr>
              <w:t xml:space="preserve"> </w:t>
            </w:r>
          </w:p>
        </w:tc>
        <w:tc>
          <w:tcPr>
            <w:tcW w:w="129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rPr>
                <w:rFonts w:hint="default" w:cs="宋体"/>
                <w:color w:val="000000"/>
                <w:sz w:val="16"/>
                <w:szCs w:val="16"/>
              </w:rPr>
            </w:pPr>
          </w:p>
        </w:tc>
        <w:tc>
          <w:tcPr>
            <w:tcW w:w="87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jc w:val="right"/>
              <w:rPr>
                <w:rFonts w:hint="default" w:cs="宋体"/>
                <w:color w:val="000000"/>
                <w:sz w:val="16"/>
                <w:szCs w:val="16"/>
              </w:rPr>
            </w:pPr>
          </w:p>
        </w:tc>
      </w:tr>
    </w:tbl>
    <w:p>
      <w:pPr>
        <w:rPr>
          <w:rFonts w:hint="default"/>
          <w:sz w:val="18"/>
          <w:szCs w:val="18"/>
        </w:rPr>
      </w:pPr>
      <w:r>
        <w:rPr>
          <w:rFonts w:cs="宋体"/>
          <w:sz w:val="18"/>
          <w:szCs w:val="18"/>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sz w:val="18"/>
          <w:szCs w:val="18"/>
        </w:rPr>
        <w:br w:type="textWrapping"/>
      </w:r>
      <w:r>
        <w:rPr>
          <w:rFonts w:cs="宋体"/>
          <w:sz w:val="18"/>
          <w:szCs w:val="18"/>
        </w:rPr>
        <w:t xml:space="preserve">      2.本套报表金额单位转换时可能存在尾数误差。</w:t>
      </w:r>
      <w:r>
        <w:rPr>
          <w:rFonts w:cs="宋体"/>
          <w:sz w:val="18"/>
          <w:szCs w:val="18"/>
        </w:rPr>
        <w:br w:type="textWrapping"/>
      </w:r>
      <w:r>
        <w:rPr>
          <w:rFonts w:cs="宋体"/>
          <w:sz w:val="18"/>
          <w:szCs w:val="18"/>
        </w:rPr>
        <w:br w:type="textWrapping"/>
      </w:r>
    </w:p>
    <w:sectPr>
      <w:headerReference r:id="rId5" w:type="default"/>
      <w:footerReference r:id="rId6" w:type="default"/>
      <w:pgSz w:w="16783" w:h="11850" w:orient="landscape"/>
      <w:pgMar w:top="567" w:right="454" w:bottom="567" w:left="1037" w:header="0" w:footer="283" w:gutter="0"/>
      <w:pgNumType w:fmt="numberInDash"/>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roman"/>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script"/>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w:pict>
        <v:shape id="文本框 1" o:spid="_x0000_s1033"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path/>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default"/>
      </w:rPr>
    </w:pPr>
    <w:r>
      <w:rPr>
        <w:rFonts w:hint="default"/>
      </w:rP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7"/>
                  <w:rPr>
                    <w:rFonts w:hint="default"/>
                  </w:rPr>
                </w:pPr>
                <w:r>
                  <w:fldChar w:fldCharType="begin"/>
                </w:r>
                <w:r>
                  <w:instrText xml:space="preserve"> PAGE  \* MERGEFORMAT </w:instrText>
                </w:r>
                <w:r>
                  <w:fldChar w:fldCharType="separate"/>
                </w:r>
                <w:r>
                  <w:rPr>
                    <w:rFonts w:hint="default"/>
                  </w:rPr>
                  <w:t>- 19 -</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both"/>
      <w:rPr>
        <w:rFonts w:hint="default"/>
      </w:rPr>
    </w:pPr>
    <w:r>
      <w:rPr>
        <w:rFonts w:hint="default"/>
      </w:rPr>
      <w:pict>
        <v:shape id="_x0000_s1032" o:spid="_x0000_s1032" o:spt="202" type="#_x0000_t202" style="position:absolute;left:0pt;margin-top:0pt;height:144pt;width:144pt;mso-position-horizontal:center;mso-position-horizontal-relative:margin;mso-wrap-style:none;z-index:251661312;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path/>
          <v:fill on="f" focussize="0,0"/>
          <v:stroke on="f" weight="0.5pt" joinstyle="miter"/>
          <v:imagedata o:title=""/>
          <o:lock v:ext="edit"/>
          <v:textbox inset="0mm,0mm,0mm,0mm" style="mso-fit-shape-to-text:t;">
            <w:txbxContent>
              <w:p>
                <w:pPr>
                  <w:pStyle w:val="7"/>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31 -</w:t>
                </w:r>
                <w:r>
                  <w:fldChar w:fldCharType="end"/>
                </w:r>
                <w:r>
                  <w:t xml:space="preserve"> </w:t>
                </w:r>
              </w:p>
            </w:txbxContent>
          </v:textbox>
        </v:shape>
      </w:pict>
    </w:r>
    <w:r>
      <w:rPr>
        <w:rFonts w:hint="default"/>
      </w:rPr>
      <w:pict>
        <v:shape id="_x0000_s1031" o:spid="_x0000_s1031" o:spt="202" type="#_x0000_t202" style="position:absolute;left:0pt;margin-top:1160.4pt;height:17.4pt;width:144pt;mso-position-horizontal:center;mso-position-horizontal-relative:margin;mso-position-vertical-relative:page;mso-wrap-style:none;z-index:251660288;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path/>
          <v:fill on="f" focussize="0,0"/>
          <v:stroke on="f" weight="0.5pt" joinstyle="miter"/>
          <v:imagedata o:title=""/>
          <o:lock v:ext="edit"/>
          <v:textbox inset="0mm,0mm,0mm,0mm">
            <w:txbxContent>
              <w:p>
                <w:pPr>
                  <w:pStyle w:val="7"/>
                  <w:jc w:val="both"/>
                  <w:rPr>
                    <w:rFonts w:hint="default" w:cs="宋体"/>
                  </w:rPr>
                </w:pPr>
                <w:r>
                  <w:rPr>
                    <w:rFonts w:cs="宋体"/>
                  </w:rPr>
                  <w:t>— 27.1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1758"/>
        <w:tab w:val="clear" w:pos="4153"/>
        <w:tab w:val="clear" w:pos="8306"/>
      </w:tabs>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false"/>
  <w:bordersDoNotSurroundFooter w:val="false"/>
  <w:documentProtection w:enforcement="0"/>
  <w:defaultTabStop w:val="420"/>
  <w:drawingGridHorizontalSpacing w:val="120"/>
  <w:drawingGridVerticalSpacing w:val="163"/>
  <w:displayHorizontalDrawingGridEvery w:val="1"/>
  <w:displayVerticalDrawingGridEvery w:val="1"/>
  <w:noPunctuationKerning w:val="true"/>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GQwYWQ1YTE0ZDA0NjgxYzlhMjZlMDExNTFmMWI3MmEifQ=="/>
  </w:docVars>
  <w:rsids>
    <w:rsidRoot w:val="00B03CCD"/>
    <w:rsid w:val="000239C6"/>
    <w:rsid w:val="001D3BB7"/>
    <w:rsid w:val="002B254B"/>
    <w:rsid w:val="0034050A"/>
    <w:rsid w:val="0044504F"/>
    <w:rsid w:val="00466C9B"/>
    <w:rsid w:val="00486CFC"/>
    <w:rsid w:val="00491DDD"/>
    <w:rsid w:val="00550ABE"/>
    <w:rsid w:val="00623A85"/>
    <w:rsid w:val="00770383"/>
    <w:rsid w:val="007819D4"/>
    <w:rsid w:val="007B419D"/>
    <w:rsid w:val="007B7C4B"/>
    <w:rsid w:val="007D3D39"/>
    <w:rsid w:val="00984C6A"/>
    <w:rsid w:val="00994AF7"/>
    <w:rsid w:val="009B67B8"/>
    <w:rsid w:val="009C14C9"/>
    <w:rsid w:val="009D2B67"/>
    <w:rsid w:val="009E1452"/>
    <w:rsid w:val="00A566F9"/>
    <w:rsid w:val="00AF2751"/>
    <w:rsid w:val="00B03CCD"/>
    <w:rsid w:val="00BE2B89"/>
    <w:rsid w:val="00BF0D89"/>
    <w:rsid w:val="00C10E9E"/>
    <w:rsid w:val="00C20C3E"/>
    <w:rsid w:val="00C5163E"/>
    <w:rsid w:val="00CF2ACF"/>
    <w:rsid w:val="00D03AAF"/>
    <w:rsid w:val="00DD0539"/>
    <w:rsid w:val="00E07662"/>
    <w:rsid w:val="00E368E9"/>
    <w:rsid w:val="00EE1E33"/>
    <w:rsid w:val="00F73F90"/>
    <w:rsid w:val="00FB4B3B"/>
    <w:rsid w:val="01474EBF"/>
    <w:rsid w:val="01F3521E"/>
    <w:rsid w:val="03B87EA0"/>
    <w:rsid w:val="03E3214F"/>
    <w:rsid w:val="044C50BA"/>
    <w:rsid w:val="05BC6D49"/>
    <w:rsid w:val="06194FF1"/>
    <w:rsid w:val="06A2550B"/>
    <w:rsid w:val="06F80EE2"/>
    <w:rsid w:val="07001CCA"/>
    <w:rsid w:val="075678DB"/>
    <w:rsid w:val="077B465F"/>
    <w:rsid w:val="079D7CC7"/>
    <w:rsid w:val="08051BCA"/>
    <w:rsid w:val="086C12F4"/>
    <w:rsid w:val="08705944"/>
    <w:rsid w:val="08BA052C"/>
    <w:rsid w:val="08DB07BA"/>
    <w:rsid w:val="0969353F"/>
    <w:rsid w:val="098305D0"/>
    <w:rsid w:val="09B1218B"/>
    <w:rsid w:val="0A3317EA"/>
    <w:rsid w:val="0A5C4B69"/>
    <w:rsid w:val="0A86124A"/>
    <w:rsid w:val="0AB54CC0"/>
    <w:rsid w:val="0B9335CE"/>
    <w:rsid w:val="0BF2311A"/>
    <w:rsid w:val="0C7927C4"/>
    <w:rsid w:val="0C9B098C"/>
    <w:rsid w:val="0D673E11"/>
    <w:rsid w:val="0DDA54E4"/>
    <w:rsid w:val="0E3A5F83"/>
    <w:rsid w:val="0F836721"/>
    <w:rsid w:val="0FA25D96"/>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4370EA1"/>
    <w:rsid w:val="163A6CEE"/>
    <w:rsid w:val="173708E3"/>
    <w:rsid w:val="17C374FC"/>
    <w:rsid w:val="182E4AB6"/>
    <w:rsid w:val="189079DC"/>
    <w:rsid w:val="189B0D0B"/>
    <w:rsid w:val="18B43F7C"/>
    <w:rsid w:val="191C433B"/>
    <w:rsid w:val="194A1770"/>
    <w:rsid w:val="19B906A4"/>
    <w:rsid w:val="1B6F15B6"/>
    <w:rsid w:val="1BAA2EDC"/>
    <w:rsid w:val="1CA55E64"/>
    <w:rsid w:val="1D014A01"/>
    <w:rsid w:val="1D022362"/>
    <w:rsid w:val="1D1B04B0"/>
    <w:rsid w:val="1DA52501"/>
    <w:rsid w:val="1DBD6767"/>
    <w:rsid w:val="1DC52125"/>
    <w:rsid w:val="1DD26311"/>
    <w:rsid w:val="1E374ACB"/>
    <w:rsid w:val="1ECF0A66"/>
    <w:rsid w:val="1EF5768C"/>
    <w:rsid w:val="1EF67CA4"/>
    <w:rsid w:val="1F020D3A"/>
    <w:rsid w:val="1F2C5189"/>
    <w:rsid w:val="1F4B0B02"/>
    <w:rsid w:val="1FBB35CD"/>
    <w:rsid w:val="1FCD26AF"/>
    <w:rsid w:val="20642787"/>
    <w:rsid w:val="21556F04"/>
    <w:rsid w:val="22403BD3"/>
    <w:rsid w:val="22AD3177"/>
    <w:rsid w:val="235417B6"/>
    <w:rsid w:val="24B92327"/>
    <w:rsid w:val="24C14514"/>
    <w:rsid w:val="2533755C"/>
    <w:rsid w:val="25791755"/>
    <w:rsid w:val="26396DF4"/>
    <w:rsid w:val="27167136"/>
    <w:rsid w:val="271B442C"/>
    <w:rsid w:val="27B23302"/>
    <w:rsid w:val="29310A5F"/>
    <w:rsid w:val="29C37A35"/>
    <w:rsid w:val="2A076083"/>
    <w:rsid w:val="2A73162E"/>
    <w:rsid w:val="2B167953"/>
    <w:rsid w:val="2B200583"/>
    <w:rsid w:val="2B2729C0"/>
    <w:rsid w:val="2B8209DE"/>
    <w:rsid w:val="2B821C91"/>
    <w:rsid w:val="2BF81A22"/>
    <w:rsid w:val="2C636760"/>
    <w:rsid w:val="2C6762A3"/>
    <w:rsid w:val="2FCA4B37"/>
    <w:rsid w:val="2FE029D7"/>
    <w:rsid w:val="2FF06E00"/>
    <w:rsid w:val="30586FEC"/>
    <w:rsid w:val="315F0B22"/>
    <w:rsid w:val="31A15828"/>
    <w:rsid w:val="31D84415"/>
    <w:rsid w:val="32285F6F"/>
    <w:rsid w:val="32770556"/>
    <w:rsid w:val="329C0913"/>
    <w:rsid w:val="32AA0460"/>
    <w:rsid w:val="3337290D"/>
    <w:rsid w:val="33815FDC"/>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A6A77C9"/>
    <w:rsid w:val="3ADD7F09"/>
    <w:rsid w:val="3B1705E5"/>
    <w:rsid w:val="3B18334B"/>
    <w:rsid w:val="3B36794F"/>
    <w:rsid w:val="3B6F6EE0"/>
    <w:rsid w:val="3C566AD6"/>
    <w:rsid w:val="3C594871"/>
    <w:rsid w:val="3C6A5B02"/>
    <w:rsid w:val="3D083B3A"/>
    <w:rsid w:val="3D2757A1"/>
    <w:rsid w:val="3D3D4FC4"/>
    <w:rsid w:val="3DDF3AB1"/>
    <w:rsid w:val="3E1D0952"/>
    <w:rsid w:val="3E42660A"/>
    <w:rsid w:val="3E7555B1"/>
    <w:rsid w:val="3E787ED9"/>
    <w:rsid w:val="3F032E93"/>
    <w:rsid w:val="3F0527E5"/>
    <w:rsid w:val="3F4C52C6"/>
    <w:rsid w:val="3F694D83"/>
    <w:rsid w:val="3F885DCC"/>
    <w:rsid w:val="3FCD675E"/>
    <w:rsid w:val="4004000C"/>
    <w:rsid w:val="40760DD1"/>
    <w:rsid w:val="40BD5482"/>
    <w:rsid w:val="411B6CE5"/>
    <w:rsid w:val="412070D7"/>
    <w:rsid w:val="41314E40"/>
    <w:rsid w:val="41E0734B"/>
    <w:rsid w:val="426C1EA8"/>
    <w:rsid w:val="42736402"/>
    <w:rsid w:val="42E86A87"/>
    <w:rsid w:val="43307B09"/>
    <w:rsid w:val="439A3EB9"/>
    <w:rsid w:val="43BB152F"/>
    <w:rsid w:val="44C37687"/>
    <w:rsid w:val="45CB699A"/>
    <w:rsid w:val="46423C66"/>
    <w:rsid w:val="465B470D"/>
    <w:rsid w:val="469D6AD4"/>
    <w:rsid w:val="471E6C84"/>
    <w:rsid w:val="4748792B"/>
    <w:rsid w:val="475D719D"/>
    <w:rsid w:val="47674801"/>
    <w:rsid w:val="48225EF7"/>
    <w:rsid w:val="488F422B"/>
    <w:rsid w:val="48E36915"/>
    <w:rsid w:val="48EB6572"/>
    <w:rsid w:val="495C4A24"/>
    <w:rsid w:val="497135DF"/>
    <w:rsid w:val="4A263DF2"/>
    <w:rsid w:val="4A2F278B"/>
    <w:rsid w:val="4A6F6675"/>
    <w:rsid w:val="4B135857"/>
    <w:rsid w:val="4B7951CB"/>
    <w:rsid w:val="4B7C315C"/>
    <w:rsid w:val="4D1F53CA"/>
    <w:rsid w:val="4DAC4ACA"/>
    <w:rsid w:val="4DBE01D2"/>
    <w:rsid w:val="4EFD467F"/>
    <w:rsid w:val="4F0C6BA3"/>
    <w:rsid w:val="4F186D58"/>
    <w:rsid w:val="4FFE7F08"/>
    <w:rsid w:val="504B6EAA"/>
    <w:rsid w:val="50F06B6E"/>
    <w:rsid w:val="51064DCD"/>
    <w:rsid w:val="51D21804"/>
    <w:rsid w:val="52234D33"/>
    <w:rsid w:val="522F6E0C"/>
    <w:rsid w:val="52463BA1"/>
    <w:rsid w:val="52F163D4"/>
    <w:rsid w:val="531A2DB4"/>
    <w:rsid w:val="53C0244D"/>
    <w:rsid w:val="53DD4D4E"/>
    <w:rsid w:val="53E578CE"/>
    <w:rsid w:val="541330F0"/>
    <w:rsid w:val="54272666"/>
    <w:rsid w:val="543B029D"/>
    <w:rsid w:val="54861779"/>
    <w:rsid w:val="55084A4C"/>
    <w:rsid w:val="552256E1"/>
    <w:rsid w:val="554E5773"/>
    <w:rsid w:val="555829E0"/>
    <w:rsid w:val="555A3CBC"/>
    <w:rsid w:val="5582012B"/>
    <w:rsid w:val="558E4E05"/>
    <w:rsid w:val="55BE2E85"/>
    <w:rsid w:val="56530F5D"/>
    <w:rsid w:val="567700D3"/>
    <w:rsid w:val="56FF7E9E"/>
    <w:rsid w:val="578867FC"/>
    <w:rsid w:val="5842572D"/>
    <w:rsid w:val="5A3B59D6"/>
    <w:rsid w:val="5AD134D8"/>
    <w:rsid w:val="5BF41F67"/>
    <w:rsid w:val="5C263CE4"/>
    <w:rsid w:val="5C5D2777"/>
    <w:rsid w:val="5CF66BF3"/>
    <w:rsid w:val="5D290C69"/>
    <w:rsid w:val="5DA80C2C"/>
    <w:rsid w:val="5F2D4A41"/>
    <w:rsid w:val="5F3EF931"/>
    <w:rsid w:val="60C74F6C"/>
    <w:rsid w:val="61015958"/>
    <w:rsid w:val="61025A59"/>
    <w:rsid w:val="613D5BBC"/>
    <w:rsid w:val="61536C39"/>
    <w:rsid w:val="62944DD7"/>
    <w:rsid w:val="6319381F"/>
    <w:rsid w:val="63C25DC5"/>
    <w:rsid w:val="63C62057"/>
    <w:rsid w:val="64571EF5"/>
    <w:rsid w:val="64FB113D"/>
    <w:rsid w:val="656152C6"/>
    <w:rsid w:val="6587477F"/>
    <w:rsid w:val="658C3A08"/>
    <w:rsid w:val="659FF24E"/>
    <w:rsid w:val="65C031CA"/>
    <w:rsid w:val="65CE6852"/>
    <w:rsid w:val="66267C04"/>
    <w:rsid w:val="663F505A"/>
    <w:rsid w:val="666C2D2F"/>
    <w:rsid w:val="66AF5D7C"/>
    <w:rsid w:val="66EE5541"/>
    <w:rsid w:val="67924660"/>
    <w:rsid w:val="68407834"/>
    <w:rsid w:val="6883293E"/>
    <w:rsid w:val="688412AD"/>
    <w:rsid w:val="68EB1B71"/>
    <w:rsid w:val="696C0310"/>
    <w:rsid w:val="6A6C7940"/>
    <w:rsid w:val="6A9F1565"/>
    <w:rsid w:val="6AAD2300"/>
    <w:rsid w:val="6B474EF5"/>
    <w:rsid w:val="6BC938E5"/>
    <w:rsid w:val="6C0A5AC5"/>
    <w:rsid w:val="6C560CAE"/>
    <w:rsid w:val="6C576495"/>
    <w:rsid w:val="6D903FF5"/>
    <w:rsid w:val="6DA955B8"/>
    <w:rsid w:val="6DDF23DE"/>
    <w:rsid w:val="6DE346AB"/>
    <w:rsid w:val="6DE5391A"/>
    <w:rsid w:val="6EFD1324"/>
    <w:rsid w:val="6F5A53AC"/>
    <w:rsid w:val="6FAC003D"/>
    <w:rsid w:val="6FD926BF"/>
    <w:rsid w:val="6FE55E12"/>
    <w:rsid w:val="6FFB2E76"/>
    <w:rsid w:val="708F6F7F"/>
    <w:rsid w:val="70D94BD3"/>
    <w:rsid w:val="71574775"/>
    <w:rsid w:val="71C34D91"/>
    <w:rsid w:val="72DB435C"/>
    <w:rsid w:val="72E2613A"/>
    <w:rsid w:val="72F771F4"/>
    <w:rsid w:val="73934AD2"/>
    <w:rsid w:val="750837F0"/>
    <w:rsid w:val="754758CF"/>
    <w:rsid w:val="75595ECD"/>
    <w:rsid w:val="764F62AB"/>
    <w:rsid w:val="765C45EC"/>
    <w:rsid w:val="768A7619"/>
    <w:rsid w:val="76BD23AB"/>
    <w:rsid w:val="772E1EBA"/>
    <w:rsid w:val="781926BC"/>
    <w:rsid w:val="796D60A4"/>
    <w:rsid w:val="79A031D5"/>
    <w:rsid w:val="79B47FDF"/>
    <w:rsid w:val="79E569A9"/>
    <w:rsid w:val="7A1525F7"/>
    <w:rsid w:val="7B420052"/>
    <w:rsid w:val="7BD06A28"/>
    <w:rsid w:val="7C3A7C0B"/>
    <w:rsid w:val="7C5248E4"/>
    <w:rsid w:val="7C566698"/>
    <w:rsid w:val="7C5866A3"/>
    <w:rsid w:val="7D235566"/>
    <w:rsid w:val="7D7406BB"/>
    <w:rsid w:val="7DE94331"/>
    <w:rsid w:val="7EF1655E"/>
    <w:rsid w:val="7F446A19"/>
    <w:rsid w:val="7F7452B9"/>
    <w:rsid w:val="B7E74129"/>
    <w:rsid w:val="BFBFDC8A"/>
    <w:rsid w:val="EFDFB561"/>
    <w:rsid w:val="FEDF751A"/>
    <w:rsid w:val="FFF74F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99"/>
    <w:rPr>
      <w:rFonts w:hint="eastAsia" w:ascii="宋体" w:hAnsi="宋体" w:eastAsia="宋体" w:cs="Times New Roman"/>
      <w:sz w:val="24"/>
      <w:szCs w:val="24"/>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next w:val="1"/>
    <w:unhideWhenUsed/>
    <w:qFormat/>
    <w:uiPriority w:val="99"/>
    <w:pPr>
      <w:ind w:firstLine="420" w:firstLineChars="200"/>
    </w:pPr>
  </w:style>
  <w:style w:type="paragraph" w:styleId="4">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5">
    <w:name w:val="index 6"/>
    <w:basedOn w:val="1"/>
    <w:next w:val="1"/>
    <w:qFormat/>
    <w:uiPriority w:val="0"/>
    <w:pPr>
      <w:ind w:left="2100"/>
    </w:pPr>
  </w:style>
  <w:style w:type="paragraph" w:styleId="6">
    <w:name w:val="Balloon Text"/>
    <w:basedOn w:val="1"/>
    <w:link w:val="19"/>
    <w:qFormat/>
    <w:uiPriority w:val="0"/>
    <w:rPr>
      <w:sz w:val="18"/>
      <w:szCs w:val="18"/>
    </w:rPr>
  </w:style>
  <w:style w:type="paragraph" w:styleId="7">
    <w:name w:val="footer"/>
    <w:basedOn w:val="1"/>
    <w:next w:val="5"/>
    <w:qFormat/>
    <w:uiPriority w:val="0"/>
    <w:pPr>
      <w:tabs>
        <w:tab w:val="center" w:pos="4153"/>
        <w:tab w:val="right" w:pos="8306"/>
      </w:tabs>
      <w:snapToGrid w:val="0"/>
    </w:pPr>
    <w:rPr>
      <w:sz w:val="18"/>
      <w:szCs w:val="18"/>
    </w:rPr>
  </w:style>
  <w:style w:type="paragraph" w:styleId="8">
    <w:name w:val="header"/>
    <w:basedOn w:val="1"/>
    <w:qFormat/>
    <w:uiPriority w:val="0"/>
    <w:pPr>
      <w:tabs>
        <w:tab w:val="center" w:pos="4153"/>
        <w:tab w:val="right" w:pos="8306"/>
      </w:tabs>
      <w:snapToGrid w:val="0"/>
      <w:jc w:val="center"/>
    </w:pPr>
    <w:rPr>
      <w:sz w:val="18"/>
      <w:szCs w:val="18"/>
    </w:rPr>
  </w:style>
  <w:style w:type="paragraph" w:styleId="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10">
    <w:name w:val="Normal (Web)"/>
    <w:basedOn w:val="1"/>
    <w:unhideWhenUsed/>
    <w:qFormat/>
    <w:uiPriority w:val="0"/>
    <w:pPr>
      <w:spacing w:before="100" w:beforeAutospacing="1" w:after="100" w:afterAutospacing="1"/>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qFormat/>
    <w:uiPriority w:val="0"/>
    <w:rPr>
      <w:b/>
    </w:rPr>
  </w:style>
  <w:style w:type="paragraph" w:customStyle="1" w:styleId="15">
    <w:name w:val="列出段落1"/>
    <w:basedOn w:val="1"/>
    <w:qFormat/>
    <w:uiPriority w:val="99"/>
    <w:pPr>
      <w:ind w:firstLine="420" w:firstLineChars="200"/>
    </w:pPr>
    <w:rPr>
      <w:rFonts w:hint="default"/>
    </w:rPr>
  </w:style>
  <w:style w:type="paragraph" w:customStyle="1" w:styleId="16">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7">
    <w:name w:val="21"/>
    <w:basedOn w:val="13"/>
    <w:qFormat/>
    <w:uiPriority w:val="0"/>
    <w:rPr>
      <w:rFonts w:hint="default" w:ascii="Wingdings" w:hAnsi="Wingdings" w:cs="Wingdings"/>
      <w:b/>
      <w:bCs/>
    </w:rPr>
  </w:style>
  <w:style w:type="paragraph" w:customStyle="1" w:styleId="18">
    <w:name w:val="列出段落2"/>
    <w:qFormat/>
    <w:uiPriority w:val="99"/>
    <w:pPr>
      <w:ind w:firstLine="420" w:firstLineChars="200"/>
    </w:pPr>
    <w:rPr>
      <w:rFonts w:ascii="宋体" w:hAnsi="宋体" w:eastAsia="宋体" w:cs="Times New Roman"/>
      <w:sz w:val="24"/>
      <w:szCs w:val="24"/>
      <w:lang w:val="en-US" w:eastAsia="zh-CN" w:bidi="ar-SA"/>
    </w:rPr>
  </w:style>
  <w:style w:type="character" w:customStyle="1" w:styleId="19">
    <w:name w:val="批注框文本 Char"/>
    <w:basedOn w:val="13"/>
    <w:link w:val="6"/>
    <w:qFormat/>
    <w:uiPriority w:val="0"/>
    <w:rPr>
      <w:rFonts w:ascii="宋体" w:hAnsi="宋体"/>
      <w:sz w:val="18"/>
      <w:szCs w:val="18"/>
    </w:rPr>
  </w:style>
  <w:style w:type="paragraph" w:customStyle="1" w:styleId="20">
    <w:name w:val="List Paragraph"/>
    <w:basedOn w:val="1"/>
    <w:qFormat/>
    <w:uiPriority w:val="99"/>
    <w:pPr>
      <w:keepNext w:val="0"/>
      <w:keepLines w:val="0"/>
      <w:widowControl/>
      <w:suppressLineNumbers w:val="0"/>
      <w:spacing w:before="0" w:beforeAutospacing="0" w:after="0" w:afterAutospacing="0"/>
      <w:ind w:left="0" w:right="0" w:firstLine="420" w:firstLineChars="200"/>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33" textRotate="1"/>
    <customShpInfo spid="_x0000_s1026"/>
    <customShpInfo spid="_x0000_s1032"/>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4346</Words>
  <Characters>4789</Characters>
  <Lines>186</Lines>
  <Paragraphs>52</Paragraphs>
  <TotalTime>1</TotalTime>
  <ScaleCrop>false</ScaleCrop>
  <LinksUpToDate>false</LinksUpToDate>
  <CharactersWithSpaces>4843</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2024-07-13T02:00:00Z</dcterms:created>
  <dc:creator>Administrator</dc:creator>
  <cp:lastModifiedBy>greatwall</cp:lastModifiedBy>
  <dcterms:modified xsi:type="dcterms:W3CDTF">2025-10-23T09:14:02Z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BB46EABDBB2749749395447164B066B3_12</vt:lpwstr>
  </property>
  <property fmtid="{D5CDD505-2E9C-101B-9397-08002B2CF9AE}" pid="4" name="KSOTemplateDocerSaveRecord">
    <vt:lpwstr>eyJoZGlkIjoiMzg0N2RmMjE1MjcwYjYzYzI4NTUyZDZmY2E5NzEzZDQifQ==</vt:lpwstr>
  </property>
</Properties>
</file>